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4EC28">
      <w:pPr>
        <w:pStyle w:val="6"/>
        <w:snapToGrid w:val="0"/>
        <w:spacing w:line="560" w:lineRule="exact"/>
        <w:jc w:val="both"/>
        <w:rPr>
          <w:rFonts w:hint="default" w:hAnsi="宋体"/>
          <w:b/>
          <w:sz w:val="28"/>
          <w:szCs w:val="28"/>
          <w:lang w:val="en-US" w:eastAsia="zh-CN"/>
        </w:rPr>
      </w:pPr>
      <w:r>
        <w:rPr>
          <w:rFonts w:hint="eastAsia" w:hAnsi="宋体"/>
          <w:b/>
          <w:sz w:val="28"/>
          <w:szCs w:val="28"/>
          <w:lang w:val="en-US" w:eastAsia="zh-CN"/>
        </w:rPr>
        <w:t>附件3</w:t>
      </w:r>
      <w:bookmarkStart w:id="2" w:name="_GoBack"/>
      <w:bookmarkEnd w:id="2"/>
    </w:p>
    <w:p w14:paraId="11D4235E">
      <w:pPr>
        <w:pStyle w:val="6"/>
        <w:snapToGrid w:val="0"/>
        <w:spacing w:line="560" w:lineRule="exact"/>
        <w:jc w:val="center"/>
        <w:rPr>
          <w:rFonts w:hint="eastAsia" w:hAnsi="宋体"/>
          <w:b/>
          <w:sz w:val="44"/>
          <w:szCs w:val="44"/>
        </w:rPr>
      </w:pPr>
      <w:r>
        <w:rPr>
          <w:rFonts w:hint="eastAsia" w:hAnsi="宋体"/>
          <w:b/>
          <w:sz w:val="44"/>
          <w:szCs w:val="44"/>
        </w:rPr>
        <w:t>中国篮球协会赛事活动管理办法</w:t>
      </w:r>
    </w:p>
    <w:p w14:paraId="64A191D6">
      <w:pPr>
        <w:pStyle w:val="6"/>
        <w:snapToGrid w:val="0"/>
        <w:spacing w:line="560" w:lineRule="exact"/>
        <w:jc w:val="center"/>
        <w:rPr>
          <w:rFonts w:hAnsi="宋体"/>
          <w:sz w:val="44"/>
          <w:szCs w:val="44"/>
        </w:rPr>
      </w:pPr>
      <w:r>
        <w:rPr>
          <w:rFonts w:hint="eastAsia" w:hAnsi="宋体"/>
          <w:sz w:val="44"/>
          <w:szCs w:val="44"/>
        </w:rPr>
        <w:t>（征求意见稿）</w:t>
      </w:r>
    </w:p>
    <w:p w14:paraId="26FCBD01">
      <w:pPr>
        <w:pStyle w:val="6"/>
        <w:snapToGrid w:val="0"/>
        <w:spacing w:line="400" w:lineRule="exact"/>
        <w:ind w:firstLine="2100" w:firstLineChars="700"/>
        <w:rPr>
          <w:rFonts w:hAnsi="宋体"/>
          <w:bCs/>
          <w:sz w:val="30"/>
          <w:szCs w:val="30"/>
        </w:rPr>
      </w:pPr>
      <w:r>
        <w:rPr>
          <w:rFonts w:hint="eastAsia" w:hAnsi="宋体"/>
          <w:bCs/>
          <w:sz w:val="30"/>
          <w:szCs w:val="30"/>
        </w:rPr>
        <w:t xml:space="preserve"> </w:t>
      </w:r>
    </w:p>
    <w:p w14:paraId="0F485E15">
      <w:pPr>
        <w:pStyle w:val="6"/>
        <w:snapToGrid w:val="0"/>
        <w:spacing w:line="400" w:lineRule="exact"/>
        <w:jc w:val="center"/>
        <w:rPr>
          <w:rFonts w:hAnsi="宋体"/>
          <w:bCs/>
          <w:sz w:val="30"/>
          <w:szCs w:val="30"/>
        </w:rPr>
      </w:pPr>
      <w:r>
        <w:rPr>
          <w:rFonts w:hint="eastAsia" w:hAnsi="宋体"/>
          <w:bCs/>
          <w:sz w:val="32"/>
          <w:szCs w:val="32"/>
        </w:rPr>
        <w:t>目 录</w:t>
      </w:r>
    </w:p>
    <w:p w14:paraId="788BD4B6">
      <w:pPr>
        <w:pStyle w:val="6"/>
        <w:snapToGrid w:val="0"/>
        <w:spacing w:line="400" w:lineRule="exact"/>
        <w:ind w:firstLine="2100" w:firstLineChars="700"/>
        <w:rPr>
          <w:rFonts w:hAnsi="宋体"/>
          <w:bCs/>
          <w:sz w:val="30"/>
          <w:szCs w:val="30"/>
        </w:rPr>
      </w:pPr>
    </w:p>
    <w:p w14:paraId="7E453D8A">
      <w:pPr>
        <w:pStyle w:val="6"/>
        <w:numPr>
          <w:ilvl w:val="0"/>
          <w:numId w:val="1"/>
        </w:numPr>
        <w:snapToGrid w:val="0"/>
        <w:spacing w:line="400" w:lineRule="exact"/>
        <w:ind w:left="1985" w:right="141" w:rightChars="67" w:hanging="1701"/>
        <w:jc w:val="left"/>
        <w:rPr>
          <w:rFonts w:hAnsi="宋体"/>
          <w:bCs/>
          <w:sz w:val="32"/>
          <w:szCs w:val="32"/>
        </w:rPr>
      </w:pPr>
      <w:r>
        <w:rPr>
          <w:rFonts w:hint="eastAsia" w:hAnsi="宋体"/>
          <w:bCs/>
          <w:sz w:val="32"/>
          <w:szCs w:val="32"/>
        </w:rPr>
        <w:t>总则</w:t>
      </w:r>
    </w:p>
    <w:p w14:paraId="0B76844F">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通则</w:t>
      </w:r>
    </w:p>
    <w:p w14:paraId="206BE0D5">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赛事申办和管理</w:t>
      </w:r>
    </w:p>
    <w:p w14:paraId="5C79B90A">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竞赛组织、责任人及职责</w:t>
      </w:r>
    </w:p>
    <w:p w14:paraId="6D750A6F">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赛区组委会</w:t>
      </w:r>
    </w:p>
    <w:p w14:paraId="30FEC881">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参赛运动队</w:t>
      </w:r>
    </w:p>
    <w:p w14:paraId="7E7065BB">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申诉、仲裁、反兴奋剂</w:t>
      </w:r>
    </w:p>
    <w:p w14:paraId="7D1505BD">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奖励和处罚</w:t>
      </w:r>
    </w:p>
    <w:p w14:paraId="331E18BE">
      <w:pPr>
        <w:pStyle w:val="6"/>
        <w:numPr>
          <w:ilvl w:val="0"/>
          <w:numId w:val="1"/>
        </w:numPr>
        <w:snapToGrid w:val="0"/>
        <w:spacing w:line="400" w:lineRule="exact"/>
        <w:ind w:left="1985" w:right="141" w:rightChars="67" w:hanging="1701"/>
        <w:rPr>
          <w:rFonts w:hAnsi="宋体"/>
          <w:bCs/>
          <w:sz w:val="32"/>
          <w:szCs w:val="32"/>
        </w:rPr>
      </w:pPr>
      <w:r>
        <w:rPr>
          <w:rFonts w:hint="eastAsia" w:hAnsi="宋体"/>
          <w:bCs/>
          <w:sz w:val="32"/>
          <w:szCs w:val="32"/>
        </w:rPr>
        <w:t>附则</w:t>
      </w:r>
    </w:p>
    <w:p w14:paraId="6B568A54">
      <w:pPr>
        <w:pStyle w:val="6"/>
        <w:snapToGrid w:val="0"/>
        <w:spacing w:line="400" w:lineRule="exact"/>
        <w:ind w:left="3208" w:right="141" w:rightChars="67"/>
        <w:rPr>
          <w:rFonts w:hAnsi="宋体"/>
          <w:bCs/>
          <w:sz w:val="30"/>
          <w:szCs w:val="30"/>
        </w:rPr>
      </w:pPr>
    </w:p>
    <w:p w14:paraId="012BF83F">
      <w:pPr>
        <w:pStyle w:val="6"/>
        <w:snapToGrid w:val="0"/>
        <w:spacing w:line="400" w:lineRule="exact"/>
        <w:ind w:left="3208" w:right="141" w:rightChars="67" w:firstLine="2100"/>
        <w:rPr>
          <w:rFonts w:hAnsi="宋体"/>
          <w:bCs/>
          <w:sz w:val="30"/>
          <w:szCs w:val="30"/>
        </w:rPr>
      </w:pPr>
    </w:p>
    <w:p w14:paraId="4D791DDB">
      <w:pPr>
        <w:pStyle w:val="6"/>
        <w:snapToGrid w:val="0"/>
        <w:spacing w:line="400" w:lineRule="exact"/>
        <w:ind w:right="141" w:rightChars="67" w:firstLine="600" w:firstLineChars="200"/>
        <w:rPr>
          <w:rFonts w:hAnsi="宋体"/>
          <w:bCs/>
          <w:sz w:val="30"/>
          <w:szCs w:val="30"/>
        </w:rPr>
      </w:pPr>
      <w:r>
        <w:rPr>
          <w:rFonts w:hint="eastAsia" w:hAnsi="宋体"/>
          <w:bCs/>
          <w:sz w:val="30"/>
          <w:szCs w:val="30"/>
        </w:rPr>
        <w:t>附件1  中国篮球协会赛事分级分类和申办细则</w:t>
      </w:r>
    </w:p>
    <w:p w14:paraId="20DD0117">
      <w:pPr>
        <w:pStyle w:val="6"/>
        <w:snapToGrid w:val="0"/>
        <w:spacing w:line="400" w:lineRule="exact"/>
        <w:ind w:right="141" w:rightChars="67" w:firstLine="600" w:firstLineChars="200"/>
        <w:rPr>
          <w:rFonts w:hAnsi="宋体"/>
          <w:bCs/>
          <w:sz w:val="30"/>
          <w:szCs w:val="30"/>
        </w:rPr>
      </w:pPr>
      <w:r>
        <w:rPr>
          <w:rFonts w:hint="eastAsia" w:hAnsi="宋体"/>
          <w:bCs/>
          <w:sz w:val="30"/>
          <w:szCs w:val="30"/>
        </w:rPr>
        <w:t>附件2  中国篮球协会体育道德风尚奖评选办法</w:t>
      </w:r>
    </w:p>
    <w:p w14:paraId="1DBFD260">
      <w:pPr>
        <w:pStyle w:val="6"/>
        <w:snapToGrid w:val="0"/>
        <w:spacing w:line="400" w:lineRule="exact"/>
        <w:ind w:right="141" w:rightChars="67" w:firstLine="600" w:firstLineChars="200"/>
        <w:rPr>
          <w:rFonts w:hAnsi="宋体"/>
          <w:bCs/>
          <w:sz w:val="30"/>
          <w:szCs w:val="30"/>
        </w:rPr>
      </w:pPr>
      <w:r>
        <w:rPr>
          <w:rFonts w:hint="eastAsia" w:hAnsi="宋体"/>
          <w:bCs/>
          <w:sz w:val="30"/>
          <w:szCs w:val="30"/>
        </w:rPr>
        <w:t>附件3   XX  篮球赛事代表资格协议证明书</w:t>
      </w:r>
    </w:p>
    <w:p w14:paraId="2287CB83">
      <w:pPr>
        <w:pStyle w:val="6"/>
        <w:snapToGrid w:val="0"/>
        <w:spacing w:line="400" w:lineRule="exact"/>
        <w:ind w:right="141" w:rightChars="67" w:firstLine="600" w:firstLineChars="200"/>
        <w:rPr>
          <w:rFonts w:hAnsi="宋体"/>
          <w:bCs/>
          <w:sz w:val="30"/>
          <w:szCs w:val="30"/>
        </w:rPr>
      </w:pPr>
      <w:r>
        <w:rPr>
          <w:rFonts w:hint="eastAsia" w:hAnsi="宋体"/>
          <w:bCs/>
          <w:sz w:val="30"/>
          <w:szCs w:val="30"/>
        </w:rPr>
        <w:t>附件4  中国篮球协会参赛队伍名称和比赛服装规范</w:t>
      </w:r>
    </w:p>
    <w:p w14:paraId="0A11E08E">
      <w:pPr>
        <w:pStyle w:val="6"/>
        <w:snapToGrid w:val="0"/>
        <w:spacing w:line="400" w:lineRule="exact"/>
        <w:ind w:right="141" w:rightChars="67" w:firstLine="600" w:firstLineChars="200"/>
        <w:rPr>
          <w:rFonts w:hAnsi="宋体"/>
          <w:bCs/>
          <w:sz w:val="24"/>
          <w:szCs w:val="24"/>
        </w:rPr>
      </w:pPr>
      <w:r>
        <w:rPr>
          <w:rFonts w:hint="eastAsia" w:hAnsi="宋体"/>
          <w:bCs/>
          <w:sz w:val="30"/>
          <w:szCs w:val="30"/>
        </w:rPr>
        <w:t>附件5   XX  篮球赛事参赛球队报名表</w:t>
      </w:r>
    </w:p>
    <w:p w14:paraId="4EBA0696">
      <w:pPr>
        <w:pStyle w:val="6"/>
        <w:snapToGrid w:val="0"/>
        <w:spacing w:line="400" w:lineRule="exact"/>
        <w:ind w:right="141" w:rightChars="67" w:firstLine="600" w:firstLineChars="200"/>
        <w:rPr>
          <w:rFonts w:hAnsi="宋体"/>
          <w:bCs/>
          <w:sz w:val="30"/>
          <w:szCs w:val="30"/>
        </w:rPr>
      </w:pPr>
      <w:r>
        <w:rPr>
          <w:rFonts w:hint="eastAsia" w:hAnsi="宋体"/>
          <w:bCs/>
          <w:sz w:val="30"/>
          <w:szCs w:val="30"/>
        </w:rPr>
        <w:t>附件6  中国篮球协会参赛球队参赛承诺书</w:t>
      </w:r>
    </w:p>
    <w:p w14:paraId="68CB1F26">
      <w:pPr>
        <w:pStyle w:val="6"/>
        <w:snapToGrid w:val="0"/>
        <w:spacing w:line="400" w:lineRule="exact"/>
        <w:ind w:right="141" w:rightChars="67" w:firstLine="600" w:firstLineChars="200"/>
        <w:rPr>
          <w:rFonts w:hAnsi="宋体"/>
          <w:bCs/>
          <w:sz w:val="30"/>
          <w:szCs w:val="30"/>
        </w:rPr>
      </w:pPr>
    </w:p>
    <w:p w14:paraId="2D4ED8B5">
      <w:pPr>
        <w:pStyle w:val="6"/>
        <w:snapToGrid w:val="0"/>
        <w:spacing w:line="400" w:lineRule="exact"/>
        <w:ind w:right="141" w:rightChars="67" w:firstLine="1680"/>
        <w:rPr>
          <w:rFonts w:hAnsi="宋体"/>
          <w:bCs/>
          <w:sz w:val="24"/>
          <w:szCs w:val="24"/>
        </w:rPr>
      </w:pPr>
    </w:p>
    <w:p w14:paraId="05ED85D1">
      <w:pPr>
        <w:pStyle w:val="6"/>
        <w:snapToGrid w:val="0"/>
        <w:spacing w:line="440" w:lineRule="exact"/>
        <w:ind w:right="141" w:rightChars="67" w:firstLine="1680"/>
        <w:rPr>
          <w:rFonts w:hAnsi="宋体"/>
          <w:bCs/>
          <w:sz w:val="24"/>
          <w:szCs w:val="24"/>
        </w:rPr>
      </w:pPr>
    </w:p>
    <w:p w14:paraId="4B247247">
      <w:pPr>
        <w:pStyle w:val="6"/>
        <w:snapToGrid w:val="0"/>
        <w:spacing w:line="440" w:lineRule="exact"/>
        <w:ind w:right="141" w:rightChars="67" w:firstLine="1680" w:firstLineChars="700"/>
        <w:rPr>
          <w:rFonts w:hAnsi="宋体"/>
          <w:bCs/>
          <w:sz w:val="24"/>
          <w:szCs w:val="24"/>
        </w:rPr>
      </w:pPr>
    </w:p>
    <w:p w14:paraId="7D9C1C2E">
      <w:pPr>
        <w:pStyle w:val="6"/>
        <w:snapToGrid w:val="0"/>
        <w:spacing w:line="440" w:lineRule="exact"/>
        <w:ind w:right="141" w:rightChars="67" w:firstLine="1680" w:firstLineChars="700"/>
        <w:rPr>
          <w:rFonts w:hAnsi="宋体"/>
          <w:bCs/>
          <w:sz w:val="24"/>
          <w:szCs w:val="24"/>
        </w:rPr>
      </w:pPr>
    </w:p>
    <w:p w14:paraId="31C095FD">
      <w:pPr>
        <w:pStyle w:val="6"/>
        <w:snapToGrid w:val="0"/>
        <w:spacing w:line="440" w:lineRule="exact"/>
        <w:ind w:right="141" w:rightChars="67" w:firstLine="1680" w:firstLineChars="700"/>
        <w:rPr>
          <w:rFonts w:hAnsi="宋体"/>
          <w:bCs/>
          <w:sz w:val="24"/>
          <w:szCs w:val="24"/>
        </w:rPr>
      </w:pPr>
      <w:r>
        <w:rPr>
          <w:rFonts w:hAnsi="宋体"/>
          <w:bCs/>
          <w:sz w:val="24"/>
          <w:szCs w:val="24"/>
        </w:rPr>
        <w:br w:type="page"/>
      </w:r>
    </w:p>
    <w:p w14:paraId="70E9ECA9">
      <w:pPr>
        <w:pStyle w:val="6"/>
        <w:snapToGrid w:val="0"/>
        <w:spacing w:line="440" w:lineRule="exact"/>
        <w:jc w:val="center"/>
        <w:rPr>
          <w:rFonts w:hint="eastAsia" w:hAnsi="宋体"/>
          <w:sz w:val="44"/>
          <w:szCs w:val="44"/>
        </w:rPr>
      </w:pPr>
      <w:r>
        <w:rPr>
          <w:rFonts w:hint="eastAsia" w:hAnsi="宋体"/>
          <w:sz w:val="44"/>
          <w:szCs w:val="44"/>
        </w:rPr>
        <w:t>中国篮球协会赛事活动管理办法</w:t>
      </w:r>
    </w:p>
    <w:p w14:paraId="71B0BA34">
      <w:pPr>
        <w:pStyle w:val="6"/>
        <w:snapToGrid w:val="0"/>
        <w:spacing w:line="440" w:lineRule="exact"/>
        <w:jc w:val="center"/>
        <w:rPr>
          <w:rFonts w:hAnsi="宋体" w:cs="Courier New"/>
          <w:bCs/>
          <w:sz w:val="44"/>
          <w:szCs w:val="44"/>
        </w:rPr>
      </w:pPr>
      <w:r>
        <w:rPr>
          <w:rFonts w:hint="eastAsia" w:hAnsi="宋体" w:cs="Courier New"/>
          <w:bCs/>
          <w:sz w:val="44"/>
          <w:szCs w:val="44"/>
        </w:rPr>
        <w:t>（征求意见稿）</w:t>
      </w:r>
    </w:p>
    <w:p w14:paraId="1563A708">
      <w:pPr>
        <w:pStyle w:val="6"/>
        <w:snapToGrid w:val="0"/>
        <w:spacing w:line="440" w:lineRule="exact"/>
        <w:ind w:right="141" w:rightChars="67" w:firstLine="2100" w:firstLineChars="700"/>
        <w:rPr>
          <w:rFonts w:hAnsi="宋体"/>
          <w:bCs/>
          <w:sz w:val="30"/>
          <w:szCs w:val="30"/>
        </w:rPr>
      </w:pPr>
    </w:p>
    <w:p w14:paraId="079635FA">
      <w:pPr>
        <w:pStyle w:val="6"/>
        <w:numPr>
          <w:ilvl w:val="255"/>
          <w:numId w:val="0"/>
        </w:numPr>
        <w:snapToGrid w:val="0"/>
        <w:spacing w:line="560" w:lineRule="exact"/>
        <w:ind w:firstLine="643" w:firstLineChars="200"/>
        <w:jc w:val="center"/>
        <w:rPr>
          <w:rFonts w:ascii="仿宋" w:hAnsi="仿宋" w:eastAsia="仿宋"/>
          <w:b/>
          <w:bCs/>
          <w:sz w:val="32"/>
          <w:szCs w:val="32"/>
        </w:rPr>
      </w:pPr>
      <w:r>
        <w:rPr>
          <w:rFonts w:hint="eastAsia" w:ascii="仿宋" w:hAnsi="仿宋" w:eastAsia="仿宋"/>
          <w:b/>
          <w:bCs/>
          <w:sz w:val="32"/>
          <w:szCs w:val="32"/>
        </w:rPr>
        <w:t>第一章  总则</w:t>
      </w:r>
    </w:p>
    <w:p w14:paraId="56ACF9B7">
      <w:pPr>
        <w:pStyle w:val="6"/>
        <w:numPr>
          <w:ilvl w:val="255"/>
          <w:numId w:val="0"/>
        </w:numPr>
        <w:snapToGrid w:val="0"/>
        <w:spacing w:line="560" w:lineRule="exact"/>
        <w:ind w:firstLine="643" w:firstLineChars="200"/>
        <w:jc w:val="center"/>
        <w:rPr>
          <w:rFonts w:ascii="仿宋" w:hAnsi="仿宋" w:eastAsia="仿宋"/>
          <w:b/>
          <w:bCs/>
          <w:sz w:val="32"/>
          <w:szCs w:val="32"/>
        </w:rPr>
      </w:pPr>
    </w:p>
    <w:p w14:paraId="7599DE13">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第一条  为规范篮球赛事活动,维护中国篮球协会（以下简称“中国篮协”）和其会员及相关法律主体的合法权益，保证全国各级篮球竞赛工作的顺利进行，根据《中华人民共和国体育法》、《体育赛事活动管理办法》等有关法律法规，以及《国际篮球联合会总章程》（以下简称“国际篮联”）和《中国篮球协会章程》等行业规范，制定本办法。</w:t>
      </w:r>
    </w:p>
    <w:p w14:paraId="02B443EC">
      <w:pPr>
        <w:pStyle w:val="11"/>
        <w:spacing w:before="0" w:beforeAutospacing="0" w:after="0" w:afterAutospacing="0" w:line="560" w:lineRule="exact"/>
        <w:ind w:firstLine="640" w:firstLineChars="200"/>
        <w:rPr>
          <w:rFonts w:hint="eastAsia" w:ascii="仿宋" w:hAnsi="仿宋" w:eastAsia="仿宋" w:cs="Arial"/>
          <w:sz w:val="32"/>
          <w:szCs w:val="32"/>
        </w:rPr>
      </w:pPr>
      <w:r>
        <w:rPr>
          <w:rFonts w:hint="eastAsia" w:ascii="仿宋" w:hAnsi="仿宋" w:eastAsia="仿宋" w:cs="Arial"/>
          <w:sz w:val="32"/>
          <w:szCs w:val="32"/>
        </w:rPr>
        <w:t>第二条  举办篮球赛事活动的目的是践行“以人民为中心，推动篮球运动普及提高，服务人的全面发展和社会文明进步”的宗旨。</w:t>
      </w:r>
      <w:r>
        <w:rPr>
          <w:rFonts w:hint="eastAsia" w:ascii="仿宋" w:hAnsi="仿宋" w:eastAsia="仿宋" w:cs="Arial"/>
          <w:sz w:val="32"/>
          <w:szCs w:val="32"/>
          <w:lang w:val="en-US" w:eastAsia="zh-CN"/>
        </w:rPr>
        <w:t>打造层级结构完整、数量规模合理、赛事种类多样、开放透明兼容、全国一体化赛历化的赛事体系。</w:t>
      </w:r>
      <w:r>
        <w:rPr>
          <w:rFonts w:hint="eastAsia" w:ascii="仿宋" w:hAnsi="仿宋" w:eastAsia="仿宋" w:cs="Arial"/>
          <w:sz w:val="32"/>
          <w:szCs w:val="32"/>
        </w:rPr>
        <w:t>遵循合法、安全、公开、公平、公正、诚信、文明、绿色、简约、廉洁原则。</w:t>
      </w:r>
    </w:p>
    <w:p w14:paraId="71404796">
      <w:pPr>
        <w:pStyle w:val="11"/>
        <w:spacing w:before="0" w:beforeAutospacing="0" w:after="0" w:afterAutospacing="0" w:line="560" w:lineRule="exact"/>
        <w:ind w:firstLine="640" w:firstLineChars="200"/>
        <w:jc w:val="left"/>
        <w:rPr>
          <w:rFonts w:ascii="仿宋" w:hAnsi="仿宋" w:eastAsia="仿宋" w:cs="Arial"/>
          <w:sz w:val="32"/>
          <w:szCs w:val="32"/>
        </w:rPr>
      </w:pPr>
      <w:r>
        <w:rPr>
          <w:rFonts w:hint="eastAsia" w:ascii="仿宋" w:hAnsi="仿宋" w:eastAsia="仿宋" w:cs="Arial"/>
          <w:sz w:val="32"/>
          <w:szCs w:val="32"/>
        </w:rPr>
        <w:t>第三条  中国篮协依法依规负责全国篮球赛事活动的</w:t>
      </w:r>
      <w:r>
        <w:rPr>
          <w:rFonts w:hint="eastAsia" w:ascii="仿宋" w:hAnsi="仿宋" w:eastAsia="仿宋" w:cs="Arial"/>
          <w:sz w:val="32"/>
          <w:szCs w:val="32"/>
          <w:lang w:val="en-US" w:eastAsia="zh-CN"/>
        </w:rPr>
        <w:t>管理</w:t>
      </w:r>
      <w:r>
        <w:rPr>
          <w:rFonts w:hint="eastAsia" w:ascii="仿宋" w:hAnsi="仿宋" w:eastAsia="仿宋" w:cs="Arial"/>
          <w:sz w:val="32"/>
          <w:szCs w:val="32"/>
        </w:rPr>
        <w:t>、服务、引导和规范，对全国篮球赛事活动实行分级分类管理和业务指导，依法拥有辖内各项赛事活动的赛事权利、知识产权、开发推广权等。各会员单位（包括其所属会员单位，下同）和赛事组织单位要依据体育总局和中国篮协相关规定拟定管理细则，并落实对所辖区域内篮球赛事活动的属地管理职责。</w:t>
      </w:r>
    </w:p>
    <w:p w14:paraId="36600B6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第四条  依据“谁举办、谁负责”的原则，因举办篮球赛事所产生的法律责任，由赛事组委会（含主办方、承办方和协办方等）和参与人员等依法承担。</w:t>
      </w:r>
    </w:p>
    <w:p w14:paraId="75ABF06A">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第五条  本办法适用于中国篮协管理和行业指导的在中国境内举办的各级各类篮球赛事活动。在中国篮协和其会员单位登记注册的篮球俱乐部、篮球队、运动员、教练员、裁判员和有关工作人员均须遵守本办法。</w:t>
      </w:r>
    </w:p>
    <w:p w14:paraId="1B004B8B">
      <w:pPr>
        <w:pStyle w:val="6"/>
        <w:snapToGrid w:val="0"/>
        <w:spacing w:line="560" w:lineRule="exact"/>
        <w:ind w:firstLine="640" w:firstLineChars="200"/>
        <w:rPr>
          <w:rFonts w:hAnsi="宋体"/>
          <w:sz w:val="32"/>
          <w:szCs w:val="32"/>
        </w:rPr>
      </w:pPr>
    </w:p>
    <w:p w14:paraId="09C9D0E8">
      <w:pPr>
        <w:pStyle w:val="6"/>
        <w:snapToGrid w:val="0"/>
        <w:spacing w:line="560" w:lineRule="exact"/>
        <w:ind w:firstLine="643" w:firstLineChars="200"/>
        <w:jc w:val="center"/>
        <w:rPr>
          <w:rFonts w:ascii="仿宋" w:hAnsi="仿宋" w:eastAsia="仿宋"/>
          <w:b/>
          <w:bCs/>
          <w:sz w:val="32"/>
          <w:szCs w:val="32"/>
        </w:rPr>
      </w:pPr>
      <w:r>
        <w:rPr>
          <w:rFonts w:hint="eastAsia" w:ascii="仿宋" w:hAnsi="仿宋" w:eastAsia="仿宋"/>
          <w:b/>
          <w:bCs/>
          <w:sz w:val="32"/>
          <w:szCs w:val="32"/>
        </w:rPr>
        <w:t>第二章  通则</w:t>
      </w:r>
    </w:p>
    <w:p w14:paraId="5E79F64F">
      <w:pPr>
        <w:pStyle w:val="6"/>
        <w:snapToGrid w:val="0"/>
        <w:spacing w:line="560" w:lineRule="exact"/>
        <w:ind w:firstLine="643" w:firstLineChars="200"/>
        <w:jc w:val="center"/>
        <w:rPr>
          <w:rFonts w:ascii="仿宋" w:hAnsi="仿宋" w:eastAsia="仿宋"/>
          <w:b/>
          <w:bCs/>
          <w:sz w:val="32"/>
          <w:szCs w:val="32"/>
        </w:rPr>
      </w:pPr>
    </w:p>
    <w:p w14:paraId="4AB47C82">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第六条  主办方</w:t>
      </w:r>
    </w:p>
    <w:p w14:paraId="6A591E3F">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赛事活动主办方（或称主办单位）是指发起举办篮球赛事活动的自然人、法人和非法人组织；主办方负责对赛事活动的全面组织，提出赛事活动组织方案，发布赛事文件（包括赛事活动名称、规模、竞赛规程、经费来源等），拟定“熔断”机制，选派比赛监督、技术代表、裁判长及委派主要裁判</w:t>
      </w:r>
      <w:r>
        <w:rPr>
          <w:rFonts w:hint="eastAsia" w:ascii="仿宋" w:hAnsi="仿宋" w:eastAsia="仿宋" w:cs="Arial"/>
          <w:sz w:val="32"/>
          <w:szCs w:val="32"/>
          <w:lang w:val="en-US" w:eastAsia="zh-CN"/>
        </w:rPr>
        <w:t>员</w:t>
      </w:r>
      <w:r>
        <w:rPr>
          <w:rFonts w:hint="eastAsia" w:ascii="仿宋" w:hAnsi="仿宋" w:eastAsia="仿宋" w:cs="Arial"/>
          <w:sz w:val="32"/>
          <w:szCs w:val="32"/>
        </w:rPr>
        <w:t>；与承办方协办方共同建立组委会等组织机制，内设办公室、竞赛、安全、新闻、医疗、场地保障等专门委员会或工作机构；通过承办协议等方式明确举办赛事活动的责任分工。</w:t>
      </w:r>
    </w:p>
    <w:p w14:paraId="5D806F08">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根据赛事活动的需求，可以由两家或两家以上主办方采用“联合主办”或“共同主办”的方式，共同主导赛事活动并依约拥有赛事活动的所有权，应通过合作协议或备忘录等方式明确各方权利和义务。</w:t>
      </w:r>
    </w:p>
    <w:p w14:paraId="26D296AD">
      <w:pPr>
        <w:pStyle w:val="11"/>
        <w:numPr>
          <w:ilvl w:val="255"/>
          <w:numId w:val="0"/>
        </w:numPr>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第七条  承办方</w:t>
      </w:r>
    </w:p>
    <w:p w14:paraId="5B8C8DE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承办方（或称承办单位）是指具体负责筹备、实施篮球赛事活动的自然人、法人和非法人组织；承办方应当根据赛事活动组织方案做好赛事活动各项保障工作，委派辅助性工作人员（含记录台、技术统计、即时回放系统操作员、D</w:t>
      </w:r>
      <w:r>
        <w:rPr>
          <w:rFonts w:ascii="仿宋" w:hAnsi="仿宋" w:eastAsia="仿宋" w:cs="Arial"/>
          <w:sz w:val="32"/>
          <w:szCs w:val="32"/>
        </w:rPr>
        <w:t>J</w:t>
      </w:r>
      <w:r>
        <w:rPr>
          <w:rFonts w:hint="eastAsia" w:ascii="仿宋" w:hAnsi="仿宋" w:eastAsia="仿宋" w:cs="Arial"/>
          <w:sz w:val="32"/>
          <w:szCs w:val="32"/>
        </w:rPr>
        <w:t>/</w:t>
      </w:r>
      <w:r>
        <w:rPr>
          <w:rFonts w:ascii="仿宋" w:hAnsi="仿宋" w:eastAsia="仿宋" w:cs="Arial"/>
          <w:sz w:val="32"/>
          <w:szCs w:val="32"/>
        </w:rPr>
        <w:t>MC</w:t>
      </w:r>
      <w:r>
        <w:rPr>
          <w:rFonts w:hint="eastAsia" w:ascii="仿宋" w:hAnsi="仿宋" w:eastAsia="仿宋" w:cs="Arial"/>
          <w:sz w:val="32"/>
          <w:szCs w:val="32"/>
        </w:rPr>
        <w:t>、志愿者等）；确保本次赛事活动的安全，研判分析赛事活动风险，明确赛事安全保障责任，制定风险防范及应急处置预案和安全工作方案等保障措施，并具体督促落实。</w:t>
      </w:r>
    </w:p>
    <w:p w14:paraId="53C8D8B3">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主办方直接承担体育赛事活动筹备和组织工作的，须履行承办方责任。</w:t>
      </w:r>
    </w:p>
    <w:p w14:paraId="13A6523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第八条  协办方</w:t>
      </w:r>
    </w:p>
    <w:p w14:paraId="32A4DCAB">
      <w:pPr>
        <w:widowControl/>
        <w:spacing w:line="560" w:lineRule="exact"/>
        <w:ind w:firstLine="640" w:firstLineChars="200"/>
        <w:rPr>
          <w:rFonts w:ascii="仿宋" w:hAnsi="仿宋" w:eastAsia="仿宋" w:cs="Arial"/>
          <w:kern w:val="0"/>
          <w:sz w:val="32"/>
          <w:szCs w:val="32"/>
        </w:rPr>
      </w:pPr>
      <w:r>
        <w:rPr>
          <w:rFonts w:hint="eastAsia" w:ascii="仿宋" w:hAnsi="仿宋" w:eastAsia="仿宋" w:cs="Arial"/>
          <w:sz w:val="32"/>
          <w:szCs w:val="32"/>
        </w:rPr>
        <w:t>协办方（或称协办单位）是指提供一定业务指导或者物质及人力支持、协助举办赛事活动的自然人、法人和非法人组织。</w:t>
      </w:r>
      <w:r>
        <w:rPr>
          <w:rFonts w:hint="eastAsia" w:ascii="仿宋" w:hAnsi="仿宋" w:eastAsia="仿宋" w:cs="Arial"/>
          <w:kern w:val="0"/>
          <w:sz w:val="32"/>
          <w:szCs w:val="32"/>
        </w:rPr>
        <w:t>协办方应当确保其为赛事活动提供的产品、设施或服务的质量和安全。也可称为推广方（</w:t>
      </w:r>
      <w:r>
        <w:rPr>
          <w:rFonts w:hint="eastAsia" w:ascii="仿宋" w:hAnsi="仿宋" w:eastAsia="仿宋" w:cs="Arial"/>
          <w:sz w:val="32"/>
          <w:szCs w:val="32"/>
        </w:rPr>
        <w:t>推广公司</w:t>
      </w:r>
      <w:r>
        <w:rPr>
          <w:rFonts w:hint="eastAsia" w:ascii="仿宋" w:hAnsi="仿宋" w:eastAsia="仿宋" w:cs="Arial"/>
          <w:kern w:val="0"/>
          <w:sz w:val="32"/>
          <w:szCs w:val="32"/>
        </w:rPr>
        <w:t>），协助赛事活动推广和开发等工作。</w:t>
      </w:r>
    </w:p>
    <w:p w14:paraId="2E6236CD">
      <w:pPr>
        <w:pStyle w:val="11"/>
        <w:widowControl w:val="0"/>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第九条  组委会和举办方</w:t>
      </w:r>
    </w:p>
    <w:p w14:paraId="14267C7F">
      <w:pPr>
        <w:pStyle w:val="11"/>
        <w:widowControl w:val="0"/>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赛事组织委员会(以下简称“组委会”)是负责一次赛事（含联赛）的组织管理机构。一般为主办方牵头，由承办方、协办方和参与方等各方面的代表组成,并包括参与球队领队或参赛俱乐部负责人等，应在赛前至少两个月之前成立。具体负责组织该次赛事的组织工作，可设若干分赛区组委会。应设办公室、竞赛、后勤接待、新闻宣传、安保、场馆器材保障、市场开发等职能部门。</w:t>
      </w:r>
    </w:p>
    <w:p w14:paraId="74065658">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主办方、承办方、协办方等赛事活动组织者，可合称举办方，便于落实相应法律责任。举办方应当履行赛事安全保障义务，对赛事活动负责，赛前应当通过书面协议方式约定相关权利义务和责任分工。</w:t>
      </w:r>
    </w:p>
    <w:p w14:paraId="07F4BF19">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第十条  赛事种类和划分</w:t>
      </w:r>
    </w:p>
    <w:p w14:paraId="42F18417">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本办法所涉及的竞赛</w:t>
      </w:r>
      <w:r>
        <w:rPr>
          <w:rFonts w:ascii="仿宋" w:hAnsi="仿宋" w:eastAsia="仿宋" w:cs="Arial"/>
          <w:sz w:val="32"/>
          <w:szCs w:val="32"/>
        </w:rPr>
        <w:t>(</w:t>
      </w:r>
      <w:r>
        <w:rPr>
          <w:rFonts w:hint="eastAsia" w:ascii="仿宋" w:hAnsi="仿宋" w:eastAsia="仿宋" w:cs="Arial"/>
          <w:sz w:val="32"/>
          <w:szCs w:val="32"/>
        </w:rPr>
        <w:t>含联赛或比赛</w:t>
      </w:r>
      <w:r>
        <w:rPr>
          <w:rFonts w:ascii="仿宋" w:hAnsi="仿宋" w:eastAsia="仿宋" w:cs="Arial"/>
          <w:sz w:val="32"/>
          <w:szCs w:val="32"/>
        </w:rPr>
        <w:t>)</w:t>
      </w:r>
      <w:r>
        <w:rPr>
          <w:rFonts w:hint="eastAsia" w:ascii="仿宋" w:hAnsi="仿宋" w:eastAsia="仿宋" w:cs="Arial"/>
          <w:sz w:val="32"/>
          <w:szCs w:val="32"/>
        </w:rPr>
        <w:t>，按照赛事主办方、比赛性质和重要程度，分国内赛事</w:t>
      </w:r>
      <w:r>
        <w:rPr>
          <w:rFonts w:hint="eastAsia" w:ascii="仿宋" w:hAnsi="仿宋" w:eastAsia="仿宋"/>
          <w:color w:val="000000" w:themeColor="text1"/>
          <w:sz w:val="32"/>
          <w:szCs w:val="32"/>
          <w14:textFill>
            <w14:solidFill>
              <w14:schemeClr w14:val="tx1"/>
            </w14:solidFill>
          </w14:textFill>
        </w:rPr>
        <w:t>G、C、M、L</w:t>
      </w:r>
      <w:r>
        <w:rPr>
          <w:rFonts w:hint="eastAsia" w:ascii="仿宋" w:hAnsi="仿宋" w:eastAsia="仿宋"/>
          <w:color w:val="000000" w:themeColor="text1"/>
          <w:sz w:val="32"/>
          <w:szCs w:val="32"/>
          <w:lang w:val="en-US" w:eastAsia="zh-CN"/>
          <w14:textFill>
            <w14:solidFill>
              <w14:schemeClr w14:val="tx1"/>
            </w14:solidFill>
          </w14:textFill>
        </w:rPr>
        <w:t>四类</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s="Arial"/>
          <w:sz w:val="32"/>
          <w:szCs w:val="32"/>
        </w:rPr>
        <w:t>及国际赛事A、B、C、D四类。</w:t>
      </w:r>
    </w:p>
    <w:p w14:paraId="7C5C9025">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具体赛事分级分类和审批监管，见附件1：《中国篮球协会赛事分级分类和申办细则》。</w:t>
      </w:r>
    </w:p>
    <w:p w14:paraId="553A1C71">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第十一条  赛制</w:t>
      </w:r>
    </w:p>
    <w:p w14:paraId="736CC18D">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（一）主客场赛制；</w:t>
      </w:r>
    </w:p>
    <w:p w14:paraId="7CB1A5AB">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（二）赛会制（循环制和淘汰制）；</w:t>
      </w:r>
    </w:p>
    <w:p w14:paraId="15D1D31B">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（三）主场巡回赛制；</w:t>
      </w:r>
    </w:p>
    <w:p w14:paraId="2A62D1CA">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（四）混合型赛制。</w:t>
      </w:r>
    </w:p>
    <w:p w14:paraId="163E537C">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第十二条  竞赛规程</w:t>
      </w:r>
    </w:p>
    <w:p w14:paraId="52AF256C">
      <w:pPr>
        <w:pStyle w:val="11"/>
        <w:widowControl w:val="0"/>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竞赛规程是根据竞赛计划和办赛目的制订的具体实施某一项次篮球竞赛的政策与规定，是组织实施赛事竞赛的依据和规范，是举办方和参与者必须遵循的基本准则。</w:t>
      </w:r>
    </w:p>
    <w:p w14:paraId="4C14FE0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竞赛规程应包括：赛事名称、时间、地点、主办单位、承办单位、协办或推广单位、参加单位、参加办法、竞赛办法、竞赛规则和本次赛事特殊规定、录取名次和奖励、报名和报到、技术官员（比赛监督、技术代表、裁判员）、申诉程序和纠纷解决、比赛器材（比赛用球）、经费、规程解释权等。</w:t>
      </w:r>
    </w:p>
    <w:p w14:paraId="5DE50B21">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竞赛规程</w:t>
      </w:r>
      <w:r>
        <w:rPr>
          <w:rFonts w:hint="eastAsia" w:ascii="仿宋" w:hAnsi="仿宋" w:eastAsia="仿宋" w:cs="Arial"/>
          <w:sz w:val="32"/>
          <w:szCs w:val="32"/>
        </w:rPr>
        <w:t>及规程补充和解释</w:t>
      </w:r>
      <w:r>
        <w:rPr>
          <w:rFonts w:ascii="仿宋" w:hAnsi="仿宋" w:eastAsia="仿宋" w:cs="Arial"/>
          <w:sz w:val="32"/>
          <w:szCs w:val="32"/>
        </w:rPr>
        <w:t>由</w:t>
      </w:r>
      <w:r>
        <w:rPr>
          <w:rFonts w:hint="eastAsia" w:ascii="仿宋" w:hAnsi="仿宋" w:eastAsia="仿宋" w:cs="Arial"/>
          <w:sz w:val="32"/>
          <w:szCs w:val="32"/>
        </w:rPr>
        <w:t>赛事</w:t>
      </w:r>
      <w:r>
        <w:rPr>
          <w:rFonts w:ascii="仿宋" w:hAnsi="仿宋" w:eastAsia="仿宋" w:cs="Arial"/>
          <w:sz w:val="32"/>
          <w:szCs w:val="32"/>
        </w:rPr>
        <w:t>主办</w:t>
      </w:r>
      <w:r>
        <w:rPr>
          <w:rFonts w:hint="eastAsia" w:ascii="仿宋" w:hAnsi="仿宋" w:eastAsia="仿宋" w:cs="Arial"/>
          <w:sz w:val="32"/>
          <w:szCs w:val="32"/>
        </w:rPr>
        <w:t>方或组委会</w:t>
      </w:r>
      <w:r>
        <w:rPr>
          <w:rFonts w:ascii="仿宋" w:hAnsi="仿宋" w:eastAsia="仿宋" w:cs="Arial"/>
          <w:sz w:val="32"/>
          <w:szCs w:val="32"/>
        </w:rPr>
        <w:t>印发</w:t>
      </w:r>
      <w:r>
        <w:rPr>
          <w:rFonts w:hint="eastAsia" w:ascii="仿宋" w:hAnsi="仿宋" w:eastAsia="仿宋" w:cs="Arial"/>
          <w:sz w:val="32"/>
          <w:szCs w:val="32"/>
        </w:rPr>
        <w:t>。</w:t>
      </w:r>
      <w:r>
        <w:rPr>
          <w:rFonts w:ascii="仿宋" w:hAnsi="仿宋" w:eastAsia="仿宋" w:cs="Arial"/>
          <w:sz w:val="32"/>
          <w:szCs w:val="32"/>
        </w:rPr>
        <w:t>承办单位</w:t>
      </w:r>
      <w:r>
        <w:rPr>
          <w:rFonts w:hint="eastAsia" w:ascii="仿宋" w:hAnsi="仿宋" w:eastAsia="仿宋" w:cs="Arial"/>
          <w:sz w:val="32"/>
          <w:szCs w:val="32"/>
        </w:rPr>
        <w:t>（各赛区）</w:t>
      </w:r>
      <w:r>
        <w:rPr>
          <w:rFonts w:ascii="仿宋" w:hAnsi="仿宋" w:eastAsia="仿宋" w:cs="Arial"/>
          <w:sz w:val="32"/>
          <w:szCs w:val="32"/>
        </w:rPr>
        <w:t>可以印发竞赛规程的补充通知。</w:t>
      </w:r>
    </w:p>
    <w:p w14:paraId="2DBF1EB7">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第十三条  竞赛规则</w:t>
      </w:r>
    </w:p>
    <w:p w14:paraId="1BC76D03">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执行中国篮协最新审定的国际篮联颁布的《篮球规则》，以及竞赛规程或赛事手册中若干“特殊规定”。</w:t>
      </w:r>
    </w:p>
    <w:p w14:paraId="6E8D2163">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第十四条  知识产权</w:t>
      </w:r>
    </w:p>
    <w:p w14:paraId="6225993E">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篮球赛事活动的名称、标志、徽记、吉祥物、举办权、赛事转播权和其他无形资产权利受法律保护，举办方应主动办理商标、专利、著作权等知识产权注册或登记，进行市场开发，依法依规获取相关收益，任何组织和个人不得侵犯。</w:t>
      </w:r>
    </w:p>
    <w:p w14:paraId="017E3EE0">
      <w:pPr>
        <w:pStyle w:val="11"/>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未经赛事活动相关权利人许可，任何组织和个人不得以营利为目的采集或者传播篮球赛事活动图片、音视频等信息。</w:t>
      </w:r>
    </w:p>
    <w:p w14:paraId="31C96346">
      <w:pPr>
        <w:pStyle w:val="6"/>
        <w:snapToGrid w:val="0"/>
        <w:spacing w:line="560" w:lineRule="exact"/>
        <w:ind w:firstLine="640" w:firstLineChars="200"/>
        <w:rPr>
          <w:rFonts w:hAnsi="宋体"/>
          <w:sz w:val="32"/>
          <w:szCs w:val="32"/>
        </w:rPr>
      </w:pPr>
    </w:p>
    <w:p w14:paraId="2A1DF2C2">
      <w:pPr>
        <w:pStyle w:val="6"/>
        <w:snapToGrid w:val="0"/>
        <w:spacing w:line="560" w:lineRule="exact"/>
        <w:jc w:val="center"/>
        <w:rPr>
          <w:rFonts w:ascii="仿宋" w:hAnsi="仿宋" w:eastAsia="仿宋"/>
          <w:b/>
          <w:bCs/>
          <w:sz w:val="32"/>
          <w:szCs w:val="32"/>
        </w:rPr>
      </w:pPr>
      <w:r>
        <w:rPr>
          <w:rFonts w:hint="eastAsia" w:ascii="仿宋" w:hAnsi="仿宋" w:eastAsia="仿宋"/>
          <w:b/>
          <w:bCs/>
          <w:sz w:val="32"/>
          <w:szCs w:val="32"/>
        </w:rPr>
        <w:t>第三章  赛事申办和管理</w:t>
      </w:r>
    </w:p>
    <w:p w14:paraId="6FAE5DC9">
      <w:pPr>
        <w:pStyle w:val="6"/>
        <w:snapToGrid w:val="0"/>
        <w:spacing w:line="560" w:lineRule="exact"/>
        <w:ind w:firstLine="643" w:firstLineChars="200"/>
        <w:jc w:val="center"/>
        <w:rPr>
          <w:rFonts w:ascii="仿宋" w:hAnsi="仿宋" w:eastAsia="仿宋"/>
          <w:b/>
          <w:bCs/>
          <w:sz w:val="32"/>
          <w:szCs w:val="32"/>
        </w:rPr>
      </w:pPr>
    </w:p>
    <w:p w14:paraId="6197B264">
      <w:pPr>
        <w:pStyle w:val="11"/>
        <w:widowControl w:val="0"/>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第</w:t>
      </w:r>
      <w:r>
        <w:rPr>
          <w:rFonts w:hint="eastAsia" w:ascii="仿宋" w:hAnsi="仿宋" w:eastAsia="仿宋" w:cs="Arial"/>
          <w:sz w:val="32"/>
          <w:szCs w:val="32"/>
        </w:rPr>
        <w:t>十五</w:t>
      </w:r>
      <w:r>
        <w:rPr>
          <w:rFonts w:ascii="仿宋" w:hAnsi="仿宋" w:eastAsia="仿宋" w:cs="Arial"/>
          <w:sz w:val="32"/>
          <w:szCs w:val="32"/>
        </w:rPr>
        <w:t xml:space="preserve">条 </w:t>
      </w:r>
      <w:r>
        <w:rPr>
          <w:rFonts w:hint="eastAsia" w:ascii="仿宋" w:hAnsi="仿宋" w:eastAsia="仿宋" w:cs="Arial"/>
          <w:sz w:val="32"/>
          <w:szCs w:val="32"/>
        </w:rPr>
        <w:t xml:space="preserve"> </w:t>
      </w:r>
      <w:r>
        <w:rPr>
          <w:rFonts w:ascii="仿宋" w:hAnsi="仿宋" w:eastAsia="仿宋" w:cs="Arial"/>
          <w:sz w:val="32"/>
          <w:szCs w:val="32"/>
        </w:rPr>
        <w:t>举办全国</w:t>
      </w:r>
      <w:r>
        <w:rPr>
          <w:rFonts w:hint="eastAsia" w:ascii="仿宋" w:hAnsi="仿宋" w:eastAsia="仿宋" w:cs="Arial"/>
          <w:sz w:val="32"/>
          <w:szCs w:val="32"/>
        </w:rPr>
        <w:t>篮球</w:t>
      </w:r>
      <w:r>
        <w:rPr>
          <w:rFonts w:ascii="仿宋" w:hAnsi="仿宋" w:eastAsia="仿宋" w:cs="Arial"/>
          <w:sz w:val="32"/>
          <w:szCs w:val="32"/>
        </w:rPr>
        <w:t>竞赛实行登记</w:t>
      </w:r>
      <w:r>
        <w:rPr>
          <w:rFonts w:hint="eastAsia" w:ascii="仿宋" w:hAnsi="仿宋" w:eastAsia="仿宋" w:cs="Arial"/>
          <w:sz w:val="32"/>
          <w:szCs w:val="32"/>
        </w:rPr>
        <w:t>管理</w:t>
      </w:r>
      <w:r>
        <w:rPr>
          <w:rFonts w:ascii="仿宋" w:hAnsi="仿宋" w:eastAsia="仿宋" w:cs="Arial"/>
          <w:sz w:val="32"/>
          <w:szCs w:val="32"/>
        </w:rPr>
        <w:t>制度。中国篮协</w:t>
      </w:r>
      <w:r>
        <w:rPr>
          <w:rFonts w:hint="eastAsia" w:ascii="仿宋" w:hAnsi="仿宋" w:eastAsia="仿宋" w:cs="Arial"/>
          <w:sz w:val="32"/>
          <w:szCs w:val="32"/>
        </w:rPr>
        <w:t>原则</w:t>
      </w:r>
      <w:r>
        <w:rPr>
          <w:rFonts w:ascii="仿宋" w:hAnsi="仿宋" w:eastAsia="仿宋" w:cs="Arial"/>
          <w:sz w:val="32"/>
          <w:szCs w:val="32"/>
        </w:rPr>
        <w:t>每年</w:t>
      </w:r>
      <w:r>
        <w:rPr>
          <w:rFonts w:hint="eastAsia" w:ascii="仿宋" w:hAnsi="仿宋" w:eastAsia="仿宋" w:cs="Arial"/>
          <w:sz w:val="32"/>
          <w:szCs w:val="32"/>
        </w:rPr>
        <w:t>底</w:t>
      </w:r>
      <w:r>
        <w:rPr>
          <w:rFonts w:ascii="仿宋" w:hAnsi="仿宋" w:eastAsia="仿宋" w:cs="Arial"/>
          <w:sz w:val="32"/>
          <w:szCs w:val="32"/>
        </w:rPr>
        <w:t>制定</w:t>
      </w:r>
      <w:r>
        <w:rPr>
          <w:rFonts w:hint="eastAsia" w:ascii="仿宋" w:hAnsi="仿宋" w:eastAsia="仿宋" w:cs="Arial"/>
          <w:sz w:val="32"/>
          <w:szCs w:val="32"/>
        </w:rPr>
        <w:t>下一</w:t>
      </w:r>
      <w:r>
        <w:rPr>
          <w:rFonts w:ascii="仿宋" w:hAnsi="仿宋" w:eastAsia="仿宋" w:cs="Arial"/>
          <w:sz w:val="32"/>
          <w:szCs w:val="32"/>
        </w:rPr>
        <w:t>年度的全国</w:t>
      </w:r>
      <w:r>
        <w:rPr>
          <w:rFonts w:hint="eastAsia" w:ascii="仿宋" w:hAnsi="仿宋" w:eastAsia="仿宋" w:cs="Arial"/>
          <w:sz w:val="32"/>
          <w:szCs w:val="32"/>
        </w:rPr>
        <w:t>篮球</w:t>
      </w:r>
      <w:r>
        <w:rPr>
          <w:rFonts w:ascii="仿宋" w:hAnsi="仿宋" w:eastAsia="仿宋" w:cs="Arial"/>
          <w:sz w:val="32"/>
          <w:szCs w:val="32"/>
        </w:rPr>
        <w:t>竞赛计划。未列入全国</w:t>
      </w:r>
      <w:r>
        <w:rPr>
          <w:rFonts w:hint="eastAsia" w:ascii="仿宋" w:hAnsi="仿宋" w:eastAsia="仿宋" w:cs="Arial"/>
          <w:sz w:val="32"/>
          <w:szCs w:val="32"/>
        </w:rPr>
        <w:t>篮球</w:t>
      </w:r>
      <w:r>
        <w:rPr>
          <w:rFonts w:ascii="仿宋" w:hAnsi="仿宋" w:eastAsia="仿宋" w:cs="Arial"/>
          <w:sz w:val="32"/>
          <w:szCs w:val="32"/>
        </w:rPr>
        <w:t>竞赛计划</w:t>
      </w:r>
      <w:r>
        <w:rPr>
          <w:rFonts w:hint="eastAsia" w:ascii="仿宋" w:hAnsi="仿宋" w:eastAsia="仿宋" w:cs="Arial"/>
          <w:sz w:val="32"/>
          <w:szCs w:val="32"/>
        </w:rPr>
        <w:t>（赛事目录）</w:t>
      </w:r>
      <w:r>
        <w:rPr>
          <w:rFonts w:ascii="仿宋" w:hAnsi="仿宋" w:eastAsia="仿宋" w:cs="Arial"/>
          <w:sz w:val="32"/>
          <w:szCs w:val="32"/>
        </w:rPr>
        <w:t>的</w:t>
      </w:r>
      <w:r>
        <w:rPr>
          <w:rFonts w:hint="eastAsia" w:ascii="仿宋" w:hAnsi="仿宋" w:eastAsia="仿宋" w:cs="Arial"/>
          <w:sz w:val="32"/>
          <w:szCs w:val="32"/>
        </w:rPr>
        <w:t>赛事</w:t>
      </w:r>
      <w:r>
        <w:rPr>
          <w:rFonts w:ascii="仿宋" w:hAnsi="仿宋" w:eastAsia="仿宋" w:cs="Arial"/>
          <w:sz w:val="32"/>
          <w:szCs w:val="32"/>
        </w:rPr>
        <w:t>，实行一</w:t>
      </w:r>
      <w:r>
        <w:rPr>
          <w:rFonts w:hint="eastAsia" w:ascii="仿宋" w:hAnsi="仿宋" w:eastAsia="仿宋" w:cs="Arial"/>
          <w:sz w:val="32"/>
          <w:szCs w:val="32"/>
        </w:rPr>
        <w:t>赛</w:t>
      </w:r>
      <w:r>
        <w:rPr>
          <w:rFonts w:ascii="仿宋" w:hAnsi="仿宋" w:eastAsia="仿宋" w:cs="Arial"/>
          <w:sz w:val="32"/>
          <w:szCs w:val="32"/>
        </w:rPr>
        <w:t>一报</w:t>
      </w:r>
      <w:r>
        <w:rPr>
          <w:rFonts w:hint="eastAsia" w:ascii="仿宋" w:hAnsi="仿宋" w:eastAsia="仿宋" w:cs="Arial"/>
          <w:sz w:val="32"/>
          <w:szCs w:val="32"/>
        </w:rPr>
        <w:t>的管理</w:t>
      </w:r>
      <w:r>
        <w:rPr>
          <w:rFonts w:ascii="仿宋" w:hAnsi="仿宋" w:eastAsia="仿宋" w:cs="Arial"/>
          <w:sz w:val="32"/>
          <w:szCs w:val="32"/>
        </w:rPr>
        <w:t>制度。</w:t>
      </w:r>
    </w:p>
    <w:p w14:paraId="25E4E2E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第十六条  篮球赛事的名称必须符合下列规定：</w:t>
      </w:r>
    </w:p>
    <w:p w14:paraId="41279B6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（一）与举办地域和赛事活动的项目内容相一致；</w:t>
      </w:r>
    </w:p>
    <w:p w14:paraId="277AFD7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（二）与主办方开展活动的行业领域和人群范围相一致；</w:t>
      </w:r>
    </w:p>
    <w:p w14:paraId="73A9FC5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（三）与其他自然人、法人或非法人组织举办的赛事活动名称有实质性区别；</w:t>
      </w:r>
    </w:p>
    <w:p w14:paraId="4C6A0809">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（四）不得侵犯其他自然人、法人或非法人组织的合法权益；</w:t>
      </w:r>
    </w:p>
    <w:p w14:paraId="4FCF1D3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（五）不得含有欺骗或可能造成公众误解的文字；</w:t>
      </w:r>
    </w:p>
    <w:p w14:paraId="6F2C5EE2">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（六）不得使用具有宗教含义的文字；</w:t>
      </w:r>
    </w:p>
    <w:p w14:paraId="768A0F40">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（七）按照国家法律法规、政策要求使用“一带一路”“金砖国家”“上合组织”等含有政治、外交属性的文字；</w:t>
      </w:r>
    </w:p>
    <w:p w14:paraId="5B6EB87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（八）遵守相关法律、法规和规章的相关规定。</w:t>
      </w:r>
    </w:p>
    <w:p w14:paraId="7C352CB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第十七条  中央和国家机关及其事业单位、全国性社会组织主办或承办的国际性、全国性篮球赛事活动，名称中可以使用“世界”“国际”“亚洲”“中国”“全国”“国家”等字样或具有类似含义的词汇，其他篮球赛事活动不得使用与其相同或类似的名称。</w:t>
      </w:r>
    </w:p>
    <w:p w14:paraId="43B3BDEA">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第</w:t>
      </w:r>
      <w:r>
        <w:rPr>
          <w:rFonts w:hint="eastAsia" w:ascii="仿宋" w:hAnsi="仿宋" w:eastAsia="仿宋" w:cs="Arial"/>
          <w:sz w:val="32"/>
          <w:szCs w:val="32"/>
        </w:rPr>
        <w:t>十八</w:t>
      </w:r>
      <w:r>
        <w:rPr>
          <w:rFonts w:ascii="仿宋" w:hAnsi="仿宋" w:eastAsia="仿宋" w:cs="Arial"/>
          <w:sz w:val="32"/>
          <w:szCs w:val="32"/>
        </w:rPr>
        <w:t xml:space="preserve">条 </w:t>
      </w:r>
      <w:r>
        <w:rPr>
          <w:rFonts w:hint="eastAsia" w:ascii="仿宋" w:hAnsi="仿宋" w:eastAsia="仿宋" w:cs="Arial"/>
          <w:sz w:val="32"/>
          <w:szCs w:val="32"/>
        </w:rPr>
        <w:t xml:space="preserve"> </w:t>
      </w:r>
      <w:r>
        <w:rPr>
          <w:rFonts w:ascii="仿宋" w:hAnsi="仿宋" w:eastAsia="仿宋" w:cs="Arial"/>
          <w:sz w:val="32"/>
          <w:szCs w:val="32"/>
        </w:rPr>
        <w:t>申请举办</w:t>
      </w:r>
      <w:r>
        <w:rPr>
          <w:rFonts w:hint="eastAsia" w:ascii="仿宋" w:hAnsi="仿宋" w:eastAsia="仿宋" w:cs="Arial"/>
          <w:sz w:val="32"/>
          <w:szCs w:val="32"/>
        </w:rPr>
        <w:t>篮球赛事活动</w:t>
      </w:r>
      <w:r>
        <w:rPr>
          <w:rFonts w:ascii="仿宋" w:hAnsi="仿宋" w:eastAsia="仿宋" w:cs="Arial"/>
          <w:sz w:val="32"/>
          <w:szCs w:val="32"/>
        </w:rPr>
        <w:t>的组织和个人，应当具备下列条件：</w:t>
      </w:r>
    </w:p>
    <w:p w14:paraId="3047783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一</w:t>
      </w:r>
      <w:r>
        <w:rPr>
          <w:rFonts w:hint="eastAsia" w:ascii="仿宋" w:hAnsi="仿宋" w:eastAsia="仿宋" w:cs="Arial"/>
          <w:sz w:val="32"/>
          <w:szCs w:val="32"/>
        </w:rPr>
        <w:t>）</w:t>
      </w:r>
      <w:r>
        <w:rPr>
          <w:rFonts w:ascii="仿宋" w:hAnsi="仿宋" w:eastAsia="仿宋" w:cs="Arial"/>
          <w:sz w:val="32"/>
          <w:szCs w:val="32"/>
        </w:rPr>
        <w:t>能够独立承担民事责任；</w:t>
      </w:r>
    </w:p>
    <w:p w14:paraId="22B1590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二</w:t>
      </w:r>
      <w:r>
        <w:rPr>
          <w:rFonts w:hint="eastAsia" w:ascii="仿宋" w:hAnsi="仿宋" w:eastAsia="仿宋" w:cs="Arial"/>
          <w:sz w:val="32"/>
          <w:szCs w:val="32"/>
        </w:rPr>
        <w:t>）</w:t>
      </w:r>
      <w:r>
        <w:rPr>
          <w:rFonts w:ascii="仿宋" w:hAnsi="仿宋" w:eastAsia="仿宋" w:cs="Arial"/>
          <w:sz w:val="32"/>
          <w:szCs w:val="32"/>
        </w:rPr>
        <w:t>拥有与竞赛规模</w:t>
      </w:r>
      <w:r>
        <w:rPr>
          <w:rFonts w:hint="eastAsia" w:ascii="仿宋" w:hAnsi="仿宋" w:eastAsia="仿宋" w:cs="Arial"/>
          <w:sz w:val="32"/>
          <w:szCs w:val="32"/>
        </w:rPr>
        <w:t>匹配</w:t>
      </w:r>
      <w:r>
        <w:rPr>
          <w:rFonts w:ascii="仿宋" w:hAnsi="仿宋" w:eastAsia="仿宋" w:cs="Arial"/>
          <w:sz w:val="32"/>
          <w:szCs w:val="32"/>
        </w:rPr>
        <w:t>的组织机构和管理</w:t>
      </w:r>
      <w:r>
        <w:rPr>
          <w:rFonts w:hint="eastAsia" w:ascii="仿宋" w:hAnsi="仿宋" w:eastAsia="仿宋" w:cs="Arial"/>
          <w:sz w:val="32"/>
          <w:szCs w:val="32"/>
        </w:rPr>
        <w:t>、技术人员</w:t>
      </w:r>
      <w:r>
        <w:rPr>
          <w:rFonts w:ascii="仿宋" w:hAnsi="仿宋" w:eastAsia="仿宋" w:cs="Arial"/>
          <w:sz w:val="32"/>
          <w:szCs w:val="32"/>
        </w:rPr>
        <w:t>；</w:t>
      </w:r>
    </w:p>
    <w:p w14:paraId="67ECDE69">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三</w:t>
      </w:r>
      <w:r>
        <w:rPr>
          <w:rFonts w:hint="eastAsia" w:ascii="仿宋" w:hAnsi="仿宋" w:eastAsia="仿宋" w:cs="Arial"/>
          <w:sz w:val="32"/>
          <w:szCs w:val="32"/>
        </w:rPr>
        <w:t>）</w:t>
      </w:r>
      <w:r>
        <w:rPr>
          <w:rFonts w:ascii="仿宋" w:hAnsi="仿宋" w:eastAsia="仿宋" w:cs="Arial"/>
          <w:sz w:val="32"/>
          <w:szCs w:val="32"/>
        </w:rPr>
        <w:t>具体</w:t>
      </w:r>
      <w:r>
        <w:rPr>
          <w:rFonts w:hint="eastAsia" w:ascii="仿宋" w:hAnsi="仿宋" w:eastAsia="仿宋" w:cs="Arial"/>
          <w:sz w:val="32"/>
          <w:szCs w:val="32"/>
        </w:rPr>
        <w:t>可行</w:t>
      </w:r>
      <w:r>
        <w:rPr>
          <w:rFonts w:ascii="仿宋" w:hAnsi="仿宋" w:eastAsia="仿宋" w:cs="Arial"/>
          <w:sz w:val="32"/>
          <w:szCs w:val="32"/>
        </w:rPr>
        <w:t>的竞赛规程和组织实施方案；</w:t>
      </w:r>
    </w:p>
    <w:p w14:paraId="43296EF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四</w:t>
      </w:r>
      <w:r>
        <w:rPr>
          <w:rFonts w:hint="eastAsia" w:ascii="仿宋" w:hAnsi="仿宋" w:eastAsia="仿宋" w:cs="Arial"/>
          <w:sz w:val="32"/>
          <w:szCs w:val="32"/>
        </w:rPr>
        <w:t>）具备</w:t>
      </w:r>
      <w:r>
        <w:rPr>
          <w:rFonts w:ascii="仿宋" w:hAnsi="仿宋" w:eastAsia="仿宋" w:cs="Arial"/>
          <w:sz w:val="32"/>
          <w:szCs w:val="32"/>
        </w:rPr>
        <w:t>与竞赛规模相适应的经费</w:t>
      </w:r>
      <w:r>
        <w:rPr>
          <w:rFonts w:hint="eastAsia" w:ascii="仿宋" w:hAnsi="仿宋" w:eastAsia="仿宋" w:cs="Arial"/>
          <w:sz w:val="32"/>
          <w:szCs w:val="32"/>
        </w:rPr>
        <w:t>条件</w:t>
      </w:r>
      <w:r>
        <w:rPr>
          <w:rFonts w:ascii="仿宋" w:hAnsi="仿宋" w:eastAsia="仿宋" w:cs="Arial"/>
          <w:sz w:val="32"/>
          <w:szCs w:val="32"/>
        </w:rPr>
        <w:t>；</w:t>
      </w:r>
    </w:p>
    <w:p w14:paraId="2C1B742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ascii="仿宋" w:hAnsi="仿宋" w:eastAsia="仿宋" w:cs="Arial"/>
          <w:sz w:val="32"/>
          <w:szCs w:val="32"/>
        </w:rPr>
        <w:t>五</w:t>
      </w:r>
      <w:r>
        <w:rPr>
          <w:rFonts w:hint="eastAsia" w:ascii="仿宋" w:hAnsi="仿宋" w:eastAsia="仿宋" w:cs="Arial"/>
          <w:sz w:val="32"/>
          <w:szCs w:val="32"/>
        </w:rPr>
        <w:t>)具备相应</w:t>
      </w:r>
      <w:r>
        <w:rPr>
          <w:rFonts w:ascii="仿宋" w:hAnsi="仿宋" w:eastAsia="仿宋" w:cs="Arial"/>
          <w:sz w:val="32"/>
          <w:szCs w:val="32"/>
        </w:rPr>
        <w:t>竞赛所需</w:t>
      </w:r>
      <w:r>
        <w:rPr>
          <w:rFonts w:hint="eastAsia" w:ascii="仿宋" w:hAnsi="仿宋" w:eastAsia="仿宋" w:cs="Arial"/>
          <w:sz w:val="32"/>
          <w:szCs w:val="32"/>
        </w:rPr>
        <w:t>并通过了相关部门安全检测</w:t>
      </w:r>
      <w:r>
        <w:rPr>
          <w:rFonts w:ascii="仿宋" w:hAnsi="仿宋" w:eastAsia="仿宋" w:cs="Arial"/>
          <w:sz w:val="32"/>
          <w:szCs w:val="32"/>
        </w:rPr>
        <w:t>的场地、设施和器材。</w:t>
      </w:r>
    </w:p>
    <w:p w14:paraId="1AB50972">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第</w:t>
      </w:r>
      <w:r>
        <w:rPr>
          <w:rFonts w:hint="eastAsia" w:ascii="仿宋" w:hAnsi="仿宋" w:eastAsia="仿宋" w:cs="Arial"/>
          <w:sz w:val="32"/>
          <w:szCs w:val="32"/>
        </w:rPr>
        <w:t>十九</w:t>
      </w:r>
      <w:r>
        <w:rPr>
          <w:rFonts w:ascii="仿宋" w:hAnsi="仿宋" w:eastAsia="仿宋" w:cs="Arial"/>
          <w:sz w:val="32"/>
          <w:szCs w:val="32"/>
        </w:rPr>
        <w:t>条</w:t>
      </w:r>
      <w:r>
        <w:rPr>
          <w:rFonts w:hint="eastAsia" w:ascii="仿宋" w:hAnsi="仿宋" w:eastAsia="仿宋" w:cs="Arial"/>
          <w:sz w:val="32"/>
          <w:szCs w:val="32"/>
        </w:rPr>
        <w:t xml:space="preserve"> </w:t>
      </w:r>
      <w:r>
        <w:rPr>
          <w:rFonts w:ascii="仿宋" w:hAnsi="仿宋" w:eastAsia="仿宋" w:cs="Arial"/>
          <w:sz w:val="32"/>
          <w:szCs w:val="32"/>
        </w:rPr>
        <w:t xml:space="preserve"> 申请举办</w:t>
      </w:r>
      <w:r>
        <w:rPr>
          <w:rFonts w:hint="eastAsia" w:ascii="仿宋" w:hAnsi="仿宋" w:eastAsia="仿宋" w:cs="Arial"/>
          <w:sz w:val="32"/>
          <w:szCs w:val="32"/>
        </w:rPr>
        <w:t>中国篮协赛事活动</w:t>
      </w:r>
      <w:r>
        <w:rPr>
          <w:rFonts w:ascii="仿宋" w:hAnsi="仿宋" w:eastAsia="仿宋" w:cs="Arial"/>
          <w:sz w:val="32"/>
          <w:szCs w:val="32"/>
        </w:rPr>
        <w:t>的组织和个人，应</w:t>
      </w:r>
      <w:r>
        <w:rPr>
          <w:rFonts w:hint="eastAsia" w:ascii="仿宋" w:hAnsi="仿宋" w:eastAsia="仿宋" w:cs="Arial"/>
          <w:sz w:val="32"/>
          <w:szCs w:val="32"/>
        </w:rPr>
        <w:t>按要求时间</w:t>
      </w:r>
      <w:r>
        <w:rPr>
          <w:rFonts w:ascii="仿宋" w:hAnsi="仿宋" w:eastAsia="仿宋" w:cs="Arial"/>
          <w:sz w:val="32"/>
          <w:szCs w:val="32"/>
        </w:rPr>
        <w:t>向中国篮协</w:t>
      </w:r>
      <w:r>
        <w:rPr>
          <w:rFonts w:hint="eastAsia" w:ascii="仿宋" w:hAnsi="仿宋" w:eastAsia="仿宋" w:cs="Arial"/>
          <w:sz w:val="32"/>
          <w:szCs w:val="32"/>
        </w:rPr>
        <w:t>或其授权机构，</w:t>
      </w:r>
      <w:r>
        <w:rPr>
          <w:rFonts w:ascii="仿宋" w:hAnsi="仿宋" w:eastAsia="仿宋" w:cs="Arial"/>
          <w:sz w:val="32"/>
          <w:szCs w:val="32"/>
        </w:rPr>
        <w:t>提交</w:t>
      </w:r>
      <w:r>
        <w:rPr>
          <w:rFonts w:hint="eastAsia" w:ascii="仿宋" w:hAnsi="仿宋" w:eastAsia="仿宋" w:cs="Arial"/>
          <w:sz w:val="32"/>
          <w:szCs w:val="32"/>
        </w:rPr>
        <w:t>申办方</w:t>
      </w:r>
      <w:r>
        <w:rPr>
          <w:rFonts w:ascii="仿宋" w:hAnsi="仿宋" w:eastAsia="仿宋" w:cs="Arial"/>
          <w:sz w:val="32"/>
          <w:szCs w:val="32"/>
        </w:rPr>
        <w:t>法定代表人签署</w:t>
      </w:r>
      <w:r>
        <w:rPr>
          <w:rFonts w:hint="eastAsia" w:ascii="仿宋" w:hAnsi="仿宋" w:eastAsia="仿宋" w:cs="Arial"/>
          <w:sz w:val="32"/>
          <w:szCs w:val="32"/>
        </w:rPr>
        <w:t>或盖章</w:t>
      </w:r>
      <w:r>
        <w:rPr>
          <w:rFonts w:ascii="仿宋" w:hAnsi="仿宋" w:eastAsia="仿宋" w:cs="Arial"/>
          <w:sz w:val="32"/>
          <w:szCs w:val="32"/>
        </w:rPr>
        <w:t>的申请书</w:t>
      </w:r>
      <w:r>
        <w:rPr>
          <w:rFonts w:hint="eastAsia" w:ascii="仿宋" w:hAnsi="仿宋" w:eastAsia="仿宋" w:cs="Arial"/>
          <w:sz w:val="32"/>
          <w:szCs w:val="32"/>
        </w:rPr>
        <w:t>。申请书包括</w:t>
      </w:r>
      <w:r>
        <w:rPr>
          <w:rFonts w:ascii="仿宋" w:hAnsi="仿宋" w:eastAsia="仿宋" w:cs="Arial"/>
          <w:sz w:val="32"/>
          <w:szCs w:val="32"/>
        </w:rPr>
        <w:t>举办</w:t>
      </w:r>
      <w:r>
        <w:rPr>
          <w:rFonts w:hint="eastAsia" w:ascii="仿宋" w:hAnsi="仿宋" w:eastAsia="仿宋" w:cs="Arial"/>
          <w:sz w:val="32"/>
          <w:szCs w:val="32"/>
        </w:rPr>
        <w:t>本次赛事活动</w:t>
      </w:r>
      <w:r>
        <w:rPr>
          <w:rFonts w:ascii="仿宋" w:hAnsi="仿宋" w:eastAsia="仿宋" w:cs="Arial"/>
          <w:sz w:val="32"/>
          <w:szCs w:val="32"/>
        </w:rPr>
        <w:t>的宗旨</w:t>
      </w:r>
      <w:r>
        <w:rPr>
          <w:rFonts w:hint="eastAsia" w:ascii="仿宋" w:hAnsi="仿宋" w:eastAsia="仿宋" w:cs="Arial"/>
          <w:sz w:val="32"/>
          <w:szCs w:val="32"/>
        </w:rPr>
        <w:t>以及</w:t>
      </w:r>
      <w:r>
        <w:rPr>
          <w:rFonts w:ascii="仿宋" w:hAnsi="仿宋" w:eastAsia="仿宋" w:cs="Arial"/>
          <w:sz w:val="32"/>
          <w:szCs w:val="32"/>
        </w:rPr>
        <w:t>名称</w:t>
      </w:r>
      <w:r>
        <w:rPr>
          <w:rFonts w:hint="eastAsia" w:ascii="仿宋" w:hAnsi="仿宋" w:eastAsia="仿宋" w:cs="Arial"/>
          <w:sz w:val="32"/>
          <w:szCs w:val="32"/>
        </w:rPr>
        <w:t>，</w:t>
      </w:r>
      <w:r>
        <w:rPr>
          <w:rFonts w:ascii="仿宋" w:hAnsi="仿宋" w:eastAsia="仿宋" w:cs="Arial"/>
          <w:sz w:val="32"/>
          <w:szCs w:val="32"/>
        </w:rPr>
        <w:t>主办</w:t>
      </w:r>
      <w:r>
        <w:rPr>
          <w:rFonts w:hint="eastAsia" w:ascii="仿宋" w:hAnsi="仿宋" w:eastAsia="仿宋" w:cs="Arial"/>
          <w:sz w:val="32"/>
          <w:szCs w:val="32"/>
        </w:rPr>
        <w:t>方、承办方和协办方</w:t>
      </w:r>
      <w:r>
        <w:rPr>
          <w:rFonts w:ascii="仿宋" w:hAnsi="仿宋" w:eastAsia="仿宋" w:cs="Arial"/>
          <w:sz w:val="32"/>
          <w:szCs w:val="32"/>
        </w:rPr>
        <w:t>单位名称等；筹备方案</w:t>
      </w:r>
      <w:r>
        <w:rPr>
          <w:rFonts w:hint="eastAsia" w:ascii="仿宋" w:hAnsi="仿宋" w:eastAsia="仿宋" w:cs="Arial"/>
          <w:sz w:val="32"/>
          <w:szCs w:val="32"/>
        </w:rPr>
        <w:t>、接待计划，</w:t>
      </w:r>
      <w:r>
        <w:rPr>
          <w:rFonts w:ascii="仿宋" w:hAnsi="仿宋" w:eastAsia="仿宋" w:cs="Arial"/>
          <w:sz w:val="32"/>
          <w:szCs w:val="32"/>
        </w:rPr>
        <w:t>经费的来源</w:t>
      </w:r>
      <w:r>
        <w:rPr>
          <w:rFonts w:hint="eastAsia" w:ascii="仿宋" w:hAnsi="仿宋" w:eastAsia="仿宋" w:cs="Arial"/>
          <w:sz w:val="32"/>
          <w:szCs w:val="32"/>
        </w:rPr>
        <w:t>，</w:t>
      </w:r>
      <w:r>
        <w:rPr>
          <w:rFonts w:ascii="仿宋" w:hAnsi="仿宋" w:eastAsia="仿宋" w:cs="Arial"/>
          <w:sz w:val="32"/>
          <w:szCs w:val="32"/>
        </w:rPr>
        <w:t>有关业务主管部门审批文件</w:t>
      </w:r>
      <w:r>
        <w:rPr>
          <w:rFonts w:hint="eastAsia" w:ascii="仿宋" w:hAnsi="仿宋" w:eastAsia="仿宋" w:cs="Arial"/>
          <w:sz w:val="32"/>
          <w:szCs w:val="32"/>
        </w:rPr>
        <w:t>等</w:t>
      </w:r>
      <w:r>
        <w:rPr>
          <w:rFonts w:ascii="仿宋" w:hAnsi="仿宋" w:eastAsia="仿宋" w:cs="Arial"/>
          <w:sz w:val="32"/>
          <w:szCs w:val="32"/>
        </w:rPr>
        <w:t>。</w:t>
      </w:r>
    </w:p>
    <w:p w14:paraId="35A42B17">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第</w:t>
      </w:r>
      <w:r>
        <w:rPr>
          <w:rFonts w:hint="eastAsia" w:ascii="仿宋" w:hAnsi="仿宋" w:eastAsia="仿宋" w:cs="Arial"/>
          <w:sz w:val="32"/>
          <w:szCs w:val="32"/>
        </w:rPr>
        <w:t>二十</w:t>
      </w:r>
      <w:r>
        <w:rPr>
          <w:rFonts w:ascii="仿宋" w:hAnsi="仿宋" w:eastAsia="仿宋" w:cs="Arial"/>
          <w:sz w:val="32"/>
          <w:szCs w:val="32"/>
        </w:rPr>
        <w:t xml:space="preserve">条 </w:t>
      </w:r>
      <w:r>
        <w:rPr>
          <w:rFonts w:hint="eastAsia" w:ascii="仿宋" w:hAnsi="仿宋" w:eastAsia="仿宋" w:cs="Arial"/>
          <w:sz w:val="32"/>
          <w:szCs w:val="32"/>
        </w:rPr>
        <w:t xml:space="preserve"> </w:t>
      </w:r>
      <w:r>
        <w:rPr>
          <w:rFonts w:ascii="仿宋" w:hAnsi="仿宋" w:eastAsia="仿宋" w:cs="Arial"/>
          <w:sz w:val="32"/>
          <w:szCs w:val="32"/>
        </w:rPr>
        <w:t>申请</w:t>
      </w:r>
      <w:r>
        <w:rPr>
          <w:rFonts w:hint="eastAsia" w:ascii="仿宋" w:hAnsi="仿宋" w:eastAsia="仿宋" w:cs="Arial"/>
          <w:sz w:val="32"/>
          <w:szCs w:val="32"/>
        </w:rPr>
        <w:t>举办（</w:t>
      </w:r>
      <w:r>
        <w:rPr>
          <w:rFonts w:ascii="仿宋" w:hAnsi="仿宋" w:eastAsia="仿宋" w:cs="Arial"/>
          <w:sz w:val="32"/>
          <w:szCs w:val="32"/>
        </w:rPr>
        <w:t>承办</w:t>
      </w:r>
      <w:r>
        <w:rPr>
          <w:rFonts w:hint="eastAsia" w:ascii="仿宋" w:hAnsi="仿宋" w:eastAsia="仿宋" w:cs="Arial"/>
          <w:sz w:val="32"/>
          <w:szCs w:val="32"/>
        </w:rPr>
        <w:t>）</w:t>
      </w:r>
      <w:r>
        <w:rPr>
          <w:rFonts w:ascii="仿宋" w:hAnsi="仿宋" w:eastAsia="仿宋" w:cs="Arial"/>
          <w:sz w:val="32"/>
          <w:szCs w:val="32"/>
        </w:rPr>
        <w:t>国际性</w:t>
      </w:r>
      <w:r>
        <w:rPr>
          <w:rFonts w:hint="eastAsia" w:ascii="仿宋" w:hAnsi="仿宋" w:eastAsia="仿宋" w:cs="Arial"/>
          <w:sz w:val="32"/>
          <w:szCs w:val="32"/>
        </w:rPr>
        <w:t>篮球</w:t>
      </w:r>
      <w:r>
        <w:rPr>
          <w:rFonts w:ascii="仿宋" w:hAnsi="仿宋" w:eastAsia="仿宋" w:cs="Arial"/>
          <w:sz w:val="32"/>
          <w:szCs w:val="32"/>
        </w:rPr>
        <w:t>竞赛的组织和个人，应</w:t>
      </w:r>
      <w:r>
        <w:rPr>
          <w:rFonts w:hint="eastAsia" w:ascii="仿宋" w:hAnsi="仿宋" w:eastAsia="仿宋" w:cs="Arial"/>
          <w:sz w:val="32"/>
          <w:szCs w:val="32"/>
        </w:rPr>
        <w:t>按要求时间</w:t>
      </w:r>
      <w:r>
        <w:rPr>
          <w:rFonts w:ascii="仿宋" w:hAnsi="仿宋" w:eastAsia="仿宋" w:cs="Arial"/>
          <w:sz w:val="32"/>
          <w:szCs w:val="32"/>
        </w:rPr>
        <w:t>向中国篮协提出书面申请</w:t>
      </w:r>
      <w:r>
        <w:rPr>
          <w:rFonts w:hint="eastAsia" w:ascii="仿宋" w:hAnsi="仿宋" w:eastAsia="仿宋" w:cs="Arial"/>
          <w:sz w:val="32"/>
          <w:szCs w:val="32"/>
        </w:rPr>
        <w:t>函</w:t>
      </w:r>
      <w:r>
        <w:rPr>
          <w:rFonts w:ascii="仿宋" w:hAnsi="仿宋" w:eastAsia="仿宋" w:cs="Arial"/>
          <w:sz w:val="32"/>
          <w:szCs w:val="32"/>
        </w:rPr>
        <w:t>，内容包括：</w:t>
      </w:r>
    </w:p>
    <w:p w14:paraId="415EC150">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（一）拟</w:t>
      </w:r>
      <w:r>
        <w:rPr>
          <w:rFonts w:hint="eastAsia" w:ascii="仿宋" w:hAnsi="仿宋" w:eastAsia="仿宋" w:cs="Arial"/>
          <w:sz w:val="32"/>
          <w:szCs w:val="32"/>
        </w:rPr>
        <w:t>举办（</w:t>
      </w:r>
      <w:r>
        <w:rPr>
          <w:rFonts w:ascii="仿宋" w:hAnsi="仿宋" w:eastAsia="仿宋" w:cs="Arial"/>
          <w:sz w:val="32"/>
          <w:szCs w:val="32"/>
        </w:rPr>
        <w:t>承办</w:t>
      </w:r>
      <w:r>
        <w:rPr>
          <w:rFonts w:hint="eastAsia" w:ascii="仿宋" w:hAnsi="仿宋" w:eastAsia="仿宋" w:cs="Arial"/>
          <w:sz w:val="32"/>
          <w:szCs w:val="32"/>
        </w:rPr>
        <w:t>）</w:t>
      </w:r>
      <w:r>
        <w:rPr>
          <w:rFonts w:ascii="仿宋" w:hAnsi="仿宋" w:eastAsia="仿宋" w:cs="Arial"/>
          <w:sz w:val="32"/>
          <w:szCs w:val="32"/>
        </w:rPr>
        <w:t>的比赛名称、时间；</w:t>
      </w:r>
    </w:p>
    <w:p w14:paraId="3915DEF4">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（二）</w:t>
      </w:r>
      <w:r>
        <w:rPr>
          <w:rFonts w:hint="eastAsia" w:ascii="仿宋" w:hAnsi="仿宋" w:eastAsia="仿宋" w:cs="Arial"/>
          <w:sz w:val="32"/>
          <w:szCs w:val="32"/>
        </w:rPr>
        <w:t>举办（</w:t>
      </w:r>
      <w:r>
        <w:rPr>
          <w:rFonts w:ascii="仿宋" w:hAnsi="仿宋" w:eastAsia="仿宋" w:cs="Arial"/>
          <w:sz w:val="32"/>
          <w:szCs w:val="32"/>
        </w:rPr>
        <w:t>承办</w:t>
      </w:r>
      <w:r>
        <w:rPr>
          <w:rFonts w:hint="eastAsia" w:ascii="仿宋" w:hAnsi="仿宋" w:eastAsia="仿宋" w:cs="Arial"/>
          <w:sz w:val="32"/>
          <w:szCs w:val="32"/>
        </w:rPr>
        <w:t>）</w:t>
      </w:r>
      <w:r>
        <w:rPr>
          <w:rFonts w:ascii="仿宋" w:hAnsi="仿宋" w:eastAsia="仿宋" w:cs="Arial"/>
          <w:sz w:val="32"/>
          <w:szCs w:val="32"/>
        </w:rPr>
        <w:t>的目的；</w:t>
      </w:r>
    </w:p>
    <w:p w14:paraId="0B93896E">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（三）</w:t>
      </w:r>
      <w:r>
        <w:rPr>
          <w:rFonts w:hint="eastAsia" w:ascii="仿宋" w:hAnsi="仿宋" w:eastAsia="仿宋" w:cs="Arial"/>
          <w:sz w:val="32"/>
          <w:szCs w:val="32"/>
        </w:rPr>
        <w:t>举办</w:t>
      </w:r>
      <w:r>
        <w:rPr>
          <w:rFonts w:ascii="仿宋" w:hAnsi="仿宋" w:eastAsia="仿宋" w:cs="Arial"/>
          <w:sz w:val="32"/>
          <w:szCs w:val="32"/>
        </w:rPr>
        <w:t>地的场</w:t>
      </w:r>
      <w:r>
        <w:rPr>
          <w:rFonts w:hint="eastAsia" w:ascii="仿宋" w:hAnsi="仿宋" w:eastAsia="仿宋" w:cs="Arial"/>
          <w:sz w:val="32"/>
          <w:szCs w:val="32"/>
        </w:rPr>
        <w:t>馆</w:t>
      </w:r>
      <w:r>
        <w:rPr>
          <w:rFonts w:ascii="仿宋" w:hAnsi="仿宋" w:eastAsia="仿宋" w:cs="Arial"/>
          <w:sz w:val="32"/>
          <w:szCs w:val="32"/>
        </w:rPr>
        <w:t>设施情况；</w:t>
      </w:r>
    </w:p>
    <w:p w14:paraId="784B6A73">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（四）经费来源；</w:t>
      </w:r>
    </w:p>
    <w:p w14:paraId="407E13BC">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（五）接待方案；</w:t>
      </w:r>
    </w:p>
    <w:p w14:paraId="1F1197F1">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（六）</w:t>
      </w:r>
      <w:r>
        <w:rPr>
          <w:rFonts w:hint="eastAsia" w:ascii="仿宋" w:hAnsi="仿宋" w:eastAsia="仿宋" w:cs="Arial"/>
          <w:sz w:val="32"/>
          <w:szCs w:val="32"/>
        </w:rPr>
        <w:t>举办</w:t>
      </w:r>
      <w:r>
        <w:rPr>
          <w:rFonts w:ascii="仿宋" w:hAnsi="仿宋" w:eastAsia="仿宋" w:cs="Arial"/>
          <w:sz w:val="32"/>
          <w:szCs w:val="32"/>
        </w:rPr>
        <w:t>单位法人签署</w:t>
      </w:r>
      <w:r>
        <w:rPr>
          <w:rFonts w:hint="eastAsia" w:ascii="仿宋" w:hAnsi="仿宋" w:eastAsia="仿宋" w:cs="Arial"/>
          <w:sz w:val="32"/>
          <w:szCs w:val="32"/>
        </w:rPr>
        <w:t>或盖章</w:t>
      </w:r>
      <w:r>
        <w:rPr>
          <w:rFonts w:ascii="仿宋" w:hAnsi="仿宋" w:eastAsia="仿宋" w:cs="Arial"/>
          <w:sz w:val="32"/>
          <w:szCs w:val="32"/>
        </w:rPr>
        <w:t>的申请书。</w:t>
      </w:r>
    </w:p>
    <w:p w14:paraId="3B8A310F">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第</w:t>
      </w:r>
      <w:r>
        <w:rPr>
          <w:rFonts w:hint="eastAsia" w:ascii="仿宋" w:hAnsi="仿宋" w:eastAsia="仿宋" w:cs="Arial"/>
          <w:sz w:val="32"/>
          <w:szCs w:val="32"/>
        </w:rPr>
        <w:t>二</w:t>
      </w:r>
      <w:r>
        <w:rPr>
          <w:rFonts w:ascii="仿宋" w:hAnsi="仿宋" w:eastAsia="仿宋" w:cs="Arial"/>
          <w:sz w:val="32"/>
          <w:szCs w:val="32"/>
        </w:rPr>
        <w:t>十</w:t>
      </w:r>
      <w:r>
        <w:rPr>
          <w:rFonts w:hint="eastAsia" w:ascii="仿宋" w:hAnsi="仿宋" w:eastAsia="仿宋" w:cs="Arial"/>
          <w:sz w:val="32"/>
          <w:szCs w:val="32"/>
        </w:rPr>
        <w:t>一</w:t>
      </w:r>
      <w:r>
        <w:rPr>
          <w:rFonts w:ascii="仿宋" w:hAnsi="仿宋" w:eastAsia="仿宋" w:cs="Arial"/>
          <w:sz w:val="32"/>
          <w:szCs w:val="32"/>
        </w:rPr>
        <w:t>条</w:t>
      </w:r>
      <w:r>
        <w:rPr>
          <w:rFonts w:hint="eastAsia" w:ascii="仿宋" w:hAnsi="仿宋" w:eastAsia="仿宋" w:cs="Arial"/>
          <w:sz w:val="32"/>
          <w:szCs w:val="32"/>
        </w:rPr>
        <w:t xml:space="preserve">  </w:t>
      </w:r>
      <w:r>
        <w:rPr>
          <w:rFonts w:ascii="仿宋" w:hAnsi="仿宋" w:eastAsia="仿宋" w:cs="Arial"/>
          <w:sz w:val="32"/>
          <w:szCs w:val="32"/>
        </w:rPr>
        <w:t>跨行政区域举办的</w:t>
      </w:r>
      <w:r>
        <w:rPr>
          <w:rFonts w:hint="eastAsia" w:ascii="仿宋" w:hAnsi="仿宋" w:eastAsia="仿宋" w:cs="Arial"/>
          <w:sz w:val="32"/>
          <w:szCs w:val="32"/>
        </w:rPr>
        <w:t>篮球</w:t>
      </w:r>
      <w:r>
        <w:rPr>
          <w:rFonts w:ascii="仿宋" w:hAnsi="仿宋" w:eastAsia="仿宋" w:cs="Arial"/>
          <w:sz w:val="32"/>
          <w:szCs w:val="32"/>
        </w:rPr>
        <w:t>竞赛,</w:t>
      </w:r>
      <w:r>
        <w:rPr>
          <w:rFonts w:hint="eastAsia" w:ascii="仿宋" w:hAnsi="仿宋" w:eastAsia="仿宋" w:cs="Arial"/>
          <w:sz w:val="32"/>
          <w:szCs w:val="32"/>
        </w:rPr>
        <w:t>举办方</w:t>
      </w:r>
      <w:r>
        <w:rPr>
          <w:rFonts w:ascii="仿宋" w:hAnsi="仿宋" w:eastAsia="仿宋" w:cs="Arial"/>
          <w:sz w:val="32"/>
          <w:szCs w:val="32"/>
        </w:rPr>
        <w:t>必须到比赛举办地体育行政部门进行审核、登记,并由举办地体育行政部门负责监督管理。</w:t>
      </w:r>
    </w:p>
    <w:p w14:paraId="3CA84ED0">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第二十二条  中国篮协负责考察、选定在国内举行的国际A类比赛的承办单位，并报国家体育总局批准。B类和C类的国际赛事由有外事审批权的地方人民政府或其有关部门审批。</w:t>
      </w:r>
    </w:p>
    <w:p w14:paraId="3673055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第二十三条  中国篮协</w:t>
      </w:r>
      <w:r>
        <w:rPr>
          <w:rFonts w:ascii="仿宋" w:hAnsi="仿宋" w:eastAsia="仿宋" w:cs="Arial"/>
          <w:sz w:val="32"/>
          <w:szCs w:val="32"/>
        </w:rPr>
        <w:t>不对群众性和商业性赛事活动实行带有准入性质的强制认证、审批或变相审批。</w:t>
      </w:r>
      <w:r>
        <w:rPr>
          <w:rFonts w:hint="eastAsia" w:ascii="仿宋" w:hAnsi="仿宋" w:eastAsia="仿宋" w:cs="Arial"/>
          <w:sz w:val="32"/>
          <w:szCs w:val="32"/>
        </w:rPr>
        <w:t>但是，依法依规对篮球赛事活动进行行业监管，提供行业标准和服务。</w:t>
      </w:r>
    </w:p>
    <w:p w14:paraId="65A5E69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第二十四条  中国篮协</w:t>
      </w:r>
      <w:r>
        <w:rPr>
          <w:rFonts w:ascii="仿宋" w:hAnsi="仿宋" w:eastAsia="仿宋" w:cs="Arial"/>
          <w:sz w:val="32"/>
          <w:szCs w:val="32"/>
        </w:rPr>
        <w:t>制定</w:t>
      </w:r>
      <w:r>
        <w:rPr>
          <w:rFonts w:hint="eastAsia" w:ascii="仿宋" w:hAnsi="仿宋" w:eastAsia="仿宋" w:cs="Arial"/>
          <w:sz w:val="32"/>
          <w:szCs w:val="32"/>
        </w:rPr>
        <w:t>颁发篮球</w:t>
      </w:r>
      <w:r>
        <w:rPr>
          <w:rFonts w:ascii="仿宋" w:hAnsi="仿宋" w:eastAsia="仿宋" w:cs="Arial"/>
          <w:sz w:val="32"/>
          <w:szCs w:val="32"/>
        </w:rPr>
        <w:t>赛事活动的行业标准、办赛指南、参赛指引、培训办法、奖惩措施、</w:t>
      </w:r>
      <w:r>
        <w:rPr>
          <w:rFonts w:hint="eastAsia" w:ascii="仿宋" w:hAnsi="仿宋" w:eastAsia="仿宋" w:cs="Arial"/>
          <w:sz w:val="32"/>
          <w:szCs w:val="32"/>
          <w:lang w:val="en-US" w:eastAsia="zh-CN"/>
        </w:rPr>
        <w:t>认证评估、</w:t>
      </w:r>
      <w:r>
        <w:rPr>
          <w:rFonts w:ascii="仿宋" w:hAnsi="仿宋" w:eastAsia="仿宋" w:cs="Arial"/>
          <w:sz w:val="32"/>
          <w:szCs w:val="32"/>
        </w:rPr>
        <w:t>信用管理等规范，</w:t>
      </w:r>
      <w:r>
        <w:rPr>
          <w:rFonts w:hint="eastAsia" w:ascii="仿宋" w:hAnsi="仿宋" w:eastAsia="仿宋" w:cs="Arial"/>
          <w:sz w:val="32"/>
          <w:szCs w:val="32"/>
        </w:rPr>
        <w:t>详见《中国篮球协会竞赛指南》、《中国篮球协会赛事安全工作规定》、《XX联赛手册》等行业规范。</w:t>
      </w:r>
    </w:p>
    <w:p w14:paraId="12B4504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第二十五条  中国篮协及会员单位依规加强对篮球行业</w:t>
      </w:r>
      <w:r>
        <w:rPr>
          <w:rFonts w:ascii="仿宋" w:hAnsi="仿宋" w:eastAsia="仿宋" w:cs="Arial"/>
          <w:sz w:val="32"/>
          <w:szCs w:val="32"/>
        </w:rPr>
        <w:t>赛事活动监管，</w:t>
      </w:r>
      <w:r>
        <w:rPr>
          <w:rFonts w:hint="eastAsia" w:ascii="仿宋" w:hAnsi="仿宋" w:eastAsia="仿宋" w:cs="Arial"/>
          <w:sz w:val="32"/>
          <w:szCs w:val="32"/>
        </w:rPr>
        <w:t>实行登记管理。</w:t>
      </w:r>
    </w:p>
    <w:p w14:paraId="73A017A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未经中国篮协批准，会员单位和其辖内俱乐部不得成立跨地区联赛组织或俱乐部联合体。</w:t>
      </w:r>
    </w:p>
    <w:p w14:paraId="2F5F7970">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事前监管靠标准引导，事中监管靠检查督促，事后监管靠奖励和处罚（含信用管理）</w:t>
      </w:r>
      <w:r>
        <w:rPr>
          <w:rFonts w:ascii="仿宋" w:hAnsi="仿宋" w:eastAsia="仿宋" w:cs="Arial"/>
          <w:sz w:val="32"/>
          <w:szCs w:val="32"/>
        </w:rPr>
        <w:t>。</w:t>
      </w:r>
      <w:r>
        <w:rPr>
          <w:rFonts w:hint="eastAsia" w:ascii="仿宋" w:hAnsi="仿宋" w:eastAsia="仿宋" w:cs="Arial"/>
          <w:sz w:val="32"/>
          <w:szCs w:val="32"/>
        </w:rPr>
        <w:t>具体监管要求见《中国篮球协会赛事活动监督管理办法》。</w:t>
      </w:r>
    </w:p>
    <w:p w14:paraId="39AAB52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第二十六条  举办涉外赛事的单位须重视外籍人员邀请和管理工作，按照相应规定和程序报请地方有外事审批权的政府或有关部门，为外籍人员出具邀请函，</w:t>
      </w:r>
      <w:r>
        <w:rPr>
          <w:rFonts w:ascii="仿宋" w:hAnsi="仿宋" w:eastAsia="仿宋" w:cs="Arial"/>
          <w:sz w:val="32"/>
          <w:szCs w:val="32"/>
        </w:rPr>
        <w:t>协助办理</w:t>
      </w:r>
      <w:r>
        <w:rPr>
          <w:rFonts w:hint="eastAsia" w:ascii="仿宋" w:hAnsi="仿宋" w:eastAsia="仿宋" w:cs="Arial"/>
          <w:sz w:val="32"/>
          <w:szCs w:val="32"/>
        </w:rPr>
        <w:t>来华工作签证</w:t>
      </w:r>
      <w:r>
        <w:rPr>
          <w:rFonts w:ascii="仿宋" w:hAnsi="仿宋" w:eastAsia="仿宋" w:cs="Arial"/>
          <w:sz w:val="32"/>
          <w:szCs w:val="32"/>
        </w:rPr>
        <w:t>等工作</w:t>
      </w:r>
      <w:r>
        <w:rPr>
          <w:rFonts w:hint="eastAsia" w:ascii="仿宋" w:hAnsi="仿宋" w:eastAsia="仿宋" w:cs="Arial"/>
          <w:sz w:val="32"/>
          <w:szCs w:val="32"/>
        </w:rPr>
        <w:t>。</w:t>
      </w:r>
    </w:p>
    <w:p w14:paraId="35347AD2">
      <w:pPr>
        <w:widowControl/>
        <w:shd w:val="clear" w:color="auto" w:fill="FFFFFF"/>
        <w:spacing w:line="560" w:lineRule="exact"/>
        <w:ind w:firstLine="640" w:firstLineChars="200"/>
        <w:rPr>
          <w:rFonts w:ascii="宋体" w:hAnsi="宋体" w:eastAsia="宋体" w:cs="Arial"/>
          <w:sz w:val="32"/>
          <w:szCs w:val="32"/>
        </w:rPr>
      </w:pPr>
    </w:p>
    <w:p w14:paraId="36ADA3B6">
      <w:pPr>
        <w:pStyle w:val="6"/>
        <w:snapToGrid w:val="0"/>
        <w:spacing w:line="560" w:lineRule="exact"/>
        <w:jc w:val="center"/>
        <w:rPr>
          <w:rFonts w:hAnsi="宋体"/>
          <w:b/>
          <w:bCs/>
          <w:sz w:val="32"/>
          <w:szCs w:val="32"/>
        </w:rPr>
      </w:pPr>
      <w:r>
        <w:rPr>
          <w:rFonts w:hint="eastAsia" w:hAnsi="宋体"/>
          <w:b/>
          <w:bCs/>
          <w:sz w:val="32"/>
          <w:szCs w:val="32"/>
        </w:rPr>
        <w:t>第四章  各竞赛组织、责任人及职责</w:t>
      </w:r>
    </w:p>
    <w:p w14:paraId="0D5DCBB2">
      <w:pPr>
        <w:pStyle w:val="6"/>
        <w:snapToGrid w:val="0"/>
        <w:spacing w:line="560" w:lineRule="exact"/>
        <w:jc w:val="center"/>
        <w:rPr>
          <w:rFonts w:hAnsi="宋体"/>
          <w:b/>
          <w:bCs/>
          <w:sz w:val="32"/>
          <w:szCs w:val="32"/>
        </w:rPr>
      </w:pPr>
    </w:p>
    <w:p w14:paraId="2076982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第二十七条  中国篮协职能部门</w:t>
      </w:r>
    </w:p>
    <w:p w14:paraId="39858158">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中国篮协竞赛部是篮球竞赛（裁判）的系统管理职能部门，协同中国篮协其他职能部门和各类专业委员会，按照公开、公平、公正、择优的原则，选派赛事活动的管理人员和技术官员，对篮球赛事活动进行组织管理和业务指导。</w:t>
      </w:r>
    </w:p>
    <w:p w14:paraId="3369577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第二十八条  举办方</w:t>
      </w:r>
    </w:p>
    <w:p w14:paraId="2FB9DDD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根据赛事活动需要，举办方做好下列保障工作：</w:t>
      </w:r>
    </w:p>
    <w:p w14:paraId="7F760AA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（一）配备具有相应资格或资质的专业技术人员；</w:t>
      </w:r>
    </w:p>
    <w:p w14:paraId="3B3E4FE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（二）配置符合相关标准和要求的场地、器材和设施；</w:t>
      </w:r>
    </w:p>
    <w:p w14:paraId="650E97C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（三）严格落实通信、医疗、卫生、食品、交通、消防、安全保卫、应急救援、生态保护等相关措施；</w:t>
      </w:r>
    </w:p>
    <w:p w14:paraId="6814C76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（四）做好志愿者和服务人员招募、培训、保障和激励等工作。</w:t>
      </w:r>
    </w:p>
    <w:p w14:paraId="455340D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（五）根据需要购买保险（公众责任保险和意外伤害保险等）。或由参与者购买并签订参赛责任书和免责书等。</w:t>
      </w:r>
    </w:p>
    <w:p w14:paraId="6A11DDA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六）公布赛事活动有关信息。通过包括政府网站、协会网站、新闻发布会等多种途径，向社会公布赛事信息和行业规范，公开赛事活动的名称、时间、地点、主办方、承办方、协办方、参赛条件及奖惩办法等基本信息。</w:t>
      </w:r>
    </w:p>
    <w:p w14:paraId="16FF832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第二十九条  比赛监督</w:t>
      </w:r>
    </w:p>
    <w:p w14:paraId="3635886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比赛监督（国际篮联英文名称Supervisor，简称S）由中国篮协和/或主办单位选派，由思想作风好、专业技术精、组织能力强、公正廉洁、身体健康的竞赛业务人员担任。比赛监督代表主办单位，履行赛事活动</w:t>
      </w:r>
      <w:r>
        <w:rPr>
          <w:rFonts w:ascii="仿宋" w:hAnsi="仿宋" w:eastAsia="仿宋" w:cs="Arial"/>
          <w:sz w:val="32"/>
          <w:szCs w:val="32"/>
        </w:rPr>
        <w:t>监督管理职能</w:t>
      </w:r>
      <w:r>
        <w:rPr>
          <w:rFonts w:hint="eastAsia" w:ascii="仿宋" w:hAnsi="仿宋" w:eastAsia="仿宋" w:cs="Arial"/>
          <w:sz w:val="32"/>
          <w:szCs w:val="32"/>
        </w:rPr>
        <w:t>，具体见《中国篮球协会赛事活动监督管理办法》。</w:t>
      </w:r>
    </w:p>
    <w:p w14:paraId="36DB38A1">
      <w:pPr>
        <w:pStyle w:val="11"/>
        <w:spacing w:before="0" w:beforeAutospacing="0" w:after="0" w:afterAutospacing="0" w:line="560" w:lineRule="exact"/>
        <w:ind w:firstLine="640" w:firstLineChars="200"/>
        <w:jc w:val="both"/>
        <w:rPr>
          <w:rFonts w:ascii="仿宋" w:hAnsi="仿宋" w:eastAsia="仿宋" w:cs="Arial"/>
          <w:sz w:val="32"/>
          <w:szCs w:val="32"/>
        </w:rPr>
      </w:pPr>
      <w:bookmarkStart w:id="0" w:name="3710402-3899079-3_2"/>
      <w:bookmarkEnd w:id="0"/>
      <w:r>
        <w:rPr>
          <w:rFonts w:hint="eastAsia" w:ascii="仿宋" w:hAnsi="仿宋" w:eastAsia="仿宋" w:cs="Arial"/>
          <w:sz w:val="32"/>
          <w:szCs w:val="32"/>
        </w:rPr>
        <w:t>第三十条  技术代表</w:t>
      </w:r>
    </w:p>
    <w:p w14:paraId="3F7485E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技术代表（国际篮联英文名称Technical</w:t>
      </w:r>
      <w:r>
        <w:rPr>
          <w:rFonts w:ascii="仿宋" w:hAnsi="仿宋" w:eastAsia="仿宋" w:cs="Arial"/>
          <w:sz w:val="32"/>
          <w:szCs w:val="32"/>
        </w:rPr>
        <w:t xml:space="preserve"> </w:t>
      </w:r>
      <w:r>
        <w:rPr>
          <w:rFonts w:hint="eastAsia" w:ascii="仿宋" w:hAnsi="仿宋" w:eastAsia="仿宋" w:cs="Arial"/>
          <w:sz w:val="32"/>
          <w:szCs w:val="32"/>
        </w:rPr>
        <w:t>Delegate，简称T</w:t>
      </w:r>
      <w:r>
        <w:rPr>
          <w:rFonts w:ascii="仿宋" w:hAnsi="仿宋" w:eastAsia="仿宋" w:cs="Arial"/>
          <w:sz w:val="32"/>
          <w:szCs w:val="32"/>
        </w:rPr>
        <w:t>D</w:t>
      </w:r>
      <w:r>
        <w:rPr>
          <w:rFonts w:hint="eastAsia" w:ascii="仿宋" w:hAnsi="仿宋" w:eastAsia="仿宋" w:cs="Arial"/>
          <w:sz w:val="32"/>
          <w:szCs w:val="32"/>
        </w:rPr>
        <w:t>；或Commissioner，简称C）是中国篮协或主办方委派的赛事管理技术官员，其职责为：</w:t>
      </w:r>
    </w:p>
    <w:p w14:paraId="47DCA6B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（一）受主办单位委派，对赛区竞赛、裁判工作进行协调、检查、监督。在主办单位未委派比赛监督或裁判讲师情况时，其职责由技术代表兼任；</w:t>
      </w:r>
    </w:p>
    <w:p w14:paraId="1B8CB4E2">
      <w:pPr>
        <w:pStyle w:val="11"/>
        <w:spacing w:before="0" w:beforeAutospacing="0" w:after="0" w:afterAutospacing="0" w:line="560" w:lineRule="exact"/>
        <w:ind w:firstLine="640" w:firstLineChars="200"/>
        <w:jc w:val="both"/>
        <w:rPr>
          <w:rFonts w:hint="eastAsia" w:ascii="仿宋" w:hAnsi="仿宋" w:eastAsia="仿宋" w:cs="Arial"/>
          <w:sz w:val="32"/>
          <w:szCs w:val="32"/>
          <w:lang w:eastAsia="zh-CN"/>
        </w:rPr>
      </w:pPr>
      <w:r>
        <w:rPr>
          <w:rFonts w:hint="eastAsia" w:ascii="仿宋" w:hAnsi="仿宋" w:eastAsia="仿宋" w:cs="Arial"/>
          <w:sz w:val="32"/>
          <w:szCs w:val="32"/>
        </w:rPr>
        <w:t>（二）负责检查竞赛组织、赛风赛纪及安保等工作，赛前负责检查赛区、运动队工作落实情况，传达主办单位关于竞赛工作的有关规定</w:t>
      </w:r>
      <w:r>
        <w:rPr>
          <w:rFonts w:hint="eastAsia" w:ascii="仿宋" w:hAnsi="仿宋" w:eastAsia="仿宋" w:cs="Arial"/>
          <w:sz w:val="32"/>
          <w:szCs w:val="32"/>
          <w:lang w:eastAsia="zh-CN"/>
        </w:rPr>
        <w:t>。</w:t>
      </w:r>
    </w:p>
    <w:p w14:paraId="3D85EDE3">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lang w:eastAsia="zh-CN"/>
        </w:rPr>
        <w:t>（</w:t>
      </w:r>
      <w:r>
        <w:rPr>
          <w:rFonts w:hint="eastAsia" w:ascii="仿宋" w:hAnsi="仿宋" w:eastAsia="仿宋" w:cs="Arial"/>
          <w:sz w:val="32"/>
          <w:szCs w:val="32"/>
          <w:lang w:val="en-US" w:eastAsia="zh-CN"/>
        </w:rPr>
        <w:t>三</w:t>
      </w:r>
      <w:r>
        <w:rPr>
          <w:rFonts w:hint="eastAsia" w:ascii="仿宋" w:hAnsi="仿宋" w:eastAsia="仿宋" w:cs="Arial"/>
          <w:sz w:val="32"/>
          <w:szCs w:val="32"/>
          <w:lang w:eastAsia="zh-CN"/>
        </w:rPr>
        <w:t>）</w:t>
      </w:r>
      <w:r>
        <w:rPr>
          <w:rFonts w:hint="eastAsia" w:ascii="仿宋" w:hAnsi="仿宋" w:eastAsia="仿宋" w:cs="Arial"/>
          <w:sz w:val="32"/>
          <w:szCs w:val="32"/>
          <w:lang w:val="en-US" w:eastAsia="zh-CN"/>
        </w:rPr>
        <w:t>如没有选派裁判讲师，技术代表或裁判长负责</w:t>
      </w:r>
      <w:r>
        <w:rPr>
          <w:rFonts w:hint="eastAsia" w:ascii="仿宋" w:hAnsi="仿宋" w:eastAsia="仿宋" w:cs="Arial"/>
          <w:sz w:val="32"/>
          <w:szCs w:val="32"/>
        </w:rPr>
        <w:t>召集并主持裁判员准备会和总结会；</w:t>
      </w:r>
    </w:p>
    <w:p w14:paraId="5F012C0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hint="eastAsia" w:ascii="仿宋" w:hAnsi="仿宋" w:eastAsia="仿宋" w:cs="Arial"/>
          <w:sz w:val="32"/>
          <w:szCs w:val="32"/>
          <w:lang w:val="en-US" w:eastAsia="zh-CN"/>
        </w:rPr>
        <w:t>四</w:t>
      </w:r>
      <w:r>
        <w:rPr>
          <w:rFonts w:hint="eastAsia" w:ascii="仿宋" w:hAnsi="仿宋" w:eastAsia="仿宋" w:cs="Arial"/>
          <w:sz w:val="32"/>
          <w:szCs w:val="32"/>
        </w:rPr>
        <w:t>）比赛期间监督记录台工作，协助临场裁判员解决比赛临场出现的问题,确保比赛顺利进行；</w:t>
      </w:r>
    </w:p>
    <w:p w14:paraId="34B34B5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w:t>
      </w:r>
      <w:r>
        <w:rPr>
          <w:rFonts w:hint="eastAsia" w:ascii="仿宋" w:hAnsi="仿宋" w:eastAsia="仿宋" w:cs="Arial"/>
          <w:sz w:val="32"/>
          <w:szCs w:val="32"/>
          <w:lang w:val="en-US" w:eastAsia="zh-CN"/>
        </w:rPr>
        <w:t>五</w:t>
      </w:r>
      <w:r>
        <w:rPr>
          <w:rFonts w:hint="eastAsia" w:ascii="仿宋" w:hAnsi="仿宋" w:eastAsia="仿宋" w:cs="Arial"/>
          <w:sz w:val="32"/>
          <w:szCs w:val="32"/>
        </w:rPr>
        <w:t>）按主办单位有关要求，及时向主办单位汇报赛区工作，进行客观监督和评定。在规定的时间内向主办单位呈报重大问题的报告及处理意见。其报告是纪律与道德委员会、纠纷解决委员会处理赛事纠纷、处罚违纪违规行为的重要依据；</w:t>
      </w:r>
    </w:p>
    <w:p w14:paraId="1DFE956A">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第三十一条  裁判长</w:t>
      </w:r>
    </w:p>
    <w:p w14:paraId="5043E02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裁判长是赛会制比赛中，由中国篮协或主办单位指派的裁判工作负责人，是赛区组委会成员。负责赛区竞赛部门协调以及裁判员管理安排。包括：竞赛组织、业务学习、裁判员临场安排、裁判员评估总结等工作；赛后填写赛区裁判长工作报告（表）。</w:t>
      </w:r>
    </w:p>
    <w:p w14:paraId="5C4AE91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第三十二条  裁判讲师</w:t>
      </w:r>
    </w:p>
    <w:p w14:paraId="2D759540">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裁判讲师（国际篮联英文名称Referee</w:t>
      </w:r>
      <w:r>
        <w:rPr>
          <w:rFonts w:ascii="仿宋" w:hAnsi="仿宋" w:eastAsia="仿宋" w:cs="Arial"/>
          <w:sz w:val="32"/>
          <w:szCs w:val="32"/>
        </w:rPr>
        <w:t xml:space="preserve"> I</w:t>
      </w:r>
      <w:r>
        <w:rPr>
          <w:rFonts w:hint="eastAsia" w:ascii="仿宋" w:hAnsi="仿宋" w:eastAsia="仿宋" w:cs="Arial"/>
          <w:sz w:val="32"/>
          <w:szCs w:val="32"/>
        </w:rPr>
        <w:t>nstructor简称“R</w:t>
      </w:r>
      <w:r>
        <w:rPr>
          <w:rFonts w:ascii="仿宋" w:hAnsi="仿宋" w:eastAsia="仿宋" w:cs="Arial"/>
          <w:sz w:val="32"/>
          <w:szCs w:val="32"/>
        </w:rPr>
        <w:t>I</w:t>
      </w:r>
      <w:r>
        <w:rPr>
          <w:rFonts w:hint="eastAsia" w:ascii="仿宋" w:hAnsi="仿宋" w:eastAsia="仿宋" w:cs="Arial"/>
          <w:sz w:val="32"/>
          <w:szCs w:val="32"/>
        </w:rPr>
        <w:t>”,含裁判监督、监评、心理辅导等）是指重要的赛会制或主客场比赛中国篮协（或主办单位）指派的裁判技术工作负责人，从中国篮协认证的裁判讲师中选派。负责对裁判工作进行监督和指导，负责填写裁判临场监评表、裁判评估报告等工作。</w:t>
      </w:r>
    </w:p>
    <w:p w14:paraId="71B06E6A">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第三十三条  纪律与道德委员会</w:t>
      </w:r>
    </w:p>
    <w:p w14:paraId="7478A920">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中国篮协纪律与道德委员会是篮球赛事的纪律和处罚机构，</w:t>
      </w:r>
      <w:r>
        <w:rPr>
          <w:rFonts w:ascii="仿宋" w:hAnsi="仿宋" w:eastAsia="仿宋" w:cs="Arial"/>
          <w:sz w:val="32"/>
          <w:szCs w:val="32"/>
        </w:rPr>
        <w:t>依据</w:t>
      </w:r>
      <w:r>
        <w:rPr>
          <w:rFonts w:hint="eastAsia" w:ascii="仿宋" w:hAnsi="仿宋" w:eastAsia="仿宋" w:cs="Arial"/>
          <w:sz w:val="32"/>
          <w:szCs w:val="32"/>
        </w:rPr>
        <w:t>《中国篮球协会</w:t>
      </w:r>
      <w:r>
        <w:rPr>
          <w:rFonts w:ascii="仿宋" w:hAnsi="仿宋" w:eastAsia="仿宋" w:cs="Arial"/>
          <w:sz w:val="32"/>
          <w:szCs w:val="32"/>
        </w:rPr>
        <w:t>纪律</w:t>
      </w:r>
      <w:r>
        <w:rPr>
          <w:rFonts w:hint="eastAsia" w:ascii="仿宋" w:hAnsi="仿宋" w:eastAsia="仿宋" w:cs="Arial"/>
          <w:sz w:val="32"/>
          <w:szCs w:val="32"/>
        </w:rPr>
        <w:t>与道德委员会工作办法》和《中国篮球协会纪律准则和处罚规定》等有关规定，</w:t>
      </w:r>
      <w:r>
        <w:rPr>
          <w:rFonts w:ascii="仿宋" w:hAnsi="仿宋" w:eastAsia="仿宋" w:cs="Arial"/>
          <w:sz w:val="32"/>
          <w:szCs w:val="32"/>
        </w:rPr>
        <w:t>负责处理篮球</w:t>
      </w:r>
      <w:r>
        <w:rPr>
          <w:rFonts w:hint="eastAsia" w:ascii="仿宋" w:hAnsi="仿宋" w:eastAsia="仿宋" w:cs="Arial"/>
          <w:sz w:val="32"/>
          <w:szCs w:val="32"/>
        </w:rPr>
        <w:t>赛事</w:t>
      </w:r>
      <w:r>
        <w:rPr>
          <w:rFonts w:ascii="仿宋" w:hAnsi="仿宋" w:eastAsia="仿宋" w:cs="Arial"/>
          <w:sz w:val="32"/>
          <w:szCs w:val="32"/>
        </w:rPr>
        <w:t>活动中的违纪违规。</w:t>
      </w:r>
    </w:p>
    <w:p w14:paraId="0E1B1617">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赛会制全国篮球比赛的违纪违规事件</w:t>
      </w:r>
      <w:r>
        <w:rPr>
          <w:rFonts w:hint="eastAsia" w:ascii="仿宋" w:hAnsi="仿宋" w:eastAsia="仿宋" w:cs="Arial"/>
          <w:sz w:val="32"/>
          <w:szCs w:val="32"/>
        </w:rPr>
        <w:t>，</w:t>
      </w:r>
      <w:r>
        <w:rPr>
          <w:rFonts w:ascii="仿宋" w:hAnsi="仿宋" w:eastAsia="仿宋" w:cs="Arial"/>
          <w:sz w:val="32"/>
          <w:szCs w:val="32"/>
        </w:rPr>
        <w:t>由中国篮协纪律</w:t>
      </w:r>
      <w:r>
        <w:rPr>
          <w:rFonts w:hint="eastAsia" w:ascii="仿宋" w:hAnsi="仿宋" w:eastAsia="仿宋" w:cs="Arial"/>
          <w:sz w:val="32"/>
          <w:szCs w:val="32"/>
        </w:rPr>
        <w:t>与道德</w:t>
      </w:r>
      <w:r>
        <w:rPr>
          <w:rFonts w:ascii="仿宋" w:hAnsi="仿宋" w:eastAsia="仿宋" w:cs="Arial"/>
          <w:sz w:val="32"/>
          <w:szCs w:val="32"/>
        </w:rPr>
        <w:t>委员会或委托赛区</w:t>
      </w:r>
      <w:r>
        <w:rPr>
          <w:rFonts w:hint="eastAsia" w:ascii="仿宋" w:hAnsi="仿宋" w:eastAsia="仿宋" w:cs="Arial"/>
          <w:sz w:val="32"/>
          <w:szCs w:val="32"/>
        </w:rPr>
        <w:t>组委会</w:t>
      </w:r>
      <w:r>
        <w:rPr>
          <w:rFonts w:ascii="仿宋" w:hAnsi="仿宋" w:eastAsia="仿宋" w:cs="Arial"/>
          <w:sz w:val="32"/>
          <w:szCs w:val="32"/>
        </w:rPr>
        <w:t>负责处罚</w:t>
      </w:r>
      <w:r>
        <w:rPr>
          <w:rFonts w:hint="eastAsia" w:ascii="仿宋" w:hAnsi="仿宋" w:eastAsia="仿宋" w:cs="Arial"/>
          <w:sz w:val="32"/>
          <w:szCs w:val="32"/>
        </w:rPr>
        <w:t>。</w:t>
      </w:r>
      <w:r>
        <w:rPr>
          <w:rFonts w:ascii="仿宋" w:hAnsi="仿宋" w:eastAsia="仿宋" w:cs="Arial"/>
          <w:sz w:val="32"/>
          <w:szCs w:val="32"/>
        </w:rPr>
        <w:t>赛区组委会所做处理结果</w:t>
      </w:r>
      <w:r>
        <w:rPr>
          <w:rFonts w:hint="eastAsia" w:ascii="仿宋" w:hAnsi="仿宋" w:eastAsia="仿宋" w:cs="Arial"/>
          <w:sz w:val="32"/>
          <w:szCs w:val="32"/>
        </w:rPr>
        <w:t>，</w:t>
      </w:r>
      <w:r>
        <w:rPr>
          <w:rFonts w:ascii="仿宋" w:hAnsi="仿宋" w:eastAsia="仿宋" w:cs="Arial"/>
          <w:sz w:val="32"/>
          <w:szCs w:val="32"/>
        </w:rPr>
        <w:t>须报中国篮协纪律</w:t>
      </w:r>
      <w:r>
        <w:rPr>
          <w:rFonts w:hint="eastAsia" w:ascii="仿宋" w:hAnsi="仿宋" w:eastAsia="仿宋" w:cs="Arial"/>
          <w:sz w:val="32"/>
          <w:szCs w:val="32"/>
        </w:rPr>
        <w:t>与道德</w:t>
      </w:r>
      <w:r>
        <w:rPr>
          <w:rFonts w:ascii="仿宋" w:hAnsi="仿宋" w:eastAsia="仿宋" w:cs="Arial"/>
          <w:sz w:val="32"/>
          <w:szCs w:val="32"/>
        </w:rPr>
        <w:t>委员会备案</w:t>
      </w:r>
      <w:r>
        <w:rPr>
          <w:rFonts w:hint="eastAsia" w:ascii="仿宋" w:hAnsi="仿宋" w:eastAsia="仿宋" w:cs="Arial"/>
          <w:sz w:val="32"/>
          <w:szCs w:val="32"/>
        </w:rPr>
        <w:t>。</w:t>
      </w:r>
    </w:p>
    <w:p w14:paraId="73E8528C">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主客场制全国篮球比赛的违纪违规事件</w:t>
      </w:r>
      <w:r>
        <w:rPr>
          <w:rFonts w:hint="eastAsia" w:ascii="仿宋" w:hAnsi="仿宋" w:eastAsia="仿宋" w:cs="Arial"/>
          <w:sz w:val="32"/>
          <w:szCs w:val="32"/>
        </w:rPr>
        <w:t>，</w:t>
      </w:r>
      <w:r>
        <w:rPr>
          <w:rFonts w:ascii="仿宋" w:hAnsi="仿宋" w:eastAsia="仿宋" w:cs="Arial"/>
          <w:sz w:val="32"/>
          <w:szCs w:val="32"/>
        </w:rPr>
        <w:t>由中国篮协纪律</w:t>
      </w:r>
      <w:r>
        <w:rPr>
          <w:rFonts w:hint="eastAsia" w:ascii="仿宋" w:hAnsi="仿宋" w:eastAsia="仿宋" w:cs="Arial"/>
          <w:sz w:val="32"/>
          <w:szCs w:val="32"/>
        </w:rPr>
        <w:t>与道德</w:t>
      </w:r>
      <w:r>
        <w:rPr>
          <w:rFonts w:ascii="仿宋" w:hAnsi="仿宋" w:eastAsia="仿宋" w:cs="Arial"/>
          <w:sz w:val="32"/>
          <w:szCs w:val="32"/>
        </w:rPr>
        <w:t>委员会委托</w:t>
      </w:r>
      <w:r>
        <w:rPr>
          <w:rFonts w:hint="eastAsia" w:ascii="仿宋" w:hAnsi="仿宋" w:eastAsia="仿宋" w:cs="Arial"/>
          <w:sz w:val="32"/>
          <w:szCs w:val="32"/>
        </w:rPr>
        <w:t>联赛组委会或授权单位，依据授权</w:t>
      </w:r>
      <w:r>
        <w:rPr>
          <w:rFonts w:ascii="仿宋" w:hAnsi="仿宋" w:eastAsia="仿宋" w:cs="Arial"/>
          <w:sz w:val="32"/>
          <w:szCs w:val="32"/>
        </w:rPr>
        <w:t>专门成立的联赛纪律委员会</w:t>
      </w:r>
      <w:r>
        <w:rPr>
          <w:rFonts w:hint="eastAsia" w:ascii="仿宋" w:hAnsi="仿宋" w:eastAsia="仿宋" w:cs="Arial"/>
          <w:sz w:val="32"/>
          <w:szCs w:val="32"/>
        </w:rPr>
        <w:t>或</w:t>
      </w:r>
      <w:r>
        <w:rPr>
          <w:rFonts w:ascii="仿宋" w:hAnsi="仿宋" w:eastAsia="仿宋" w:cs="Arial"/>
          <w:sz w:val="32"/>
          <w:szCs w:val="32"/>
        </w:rPr>
        <w:t>和专门</w:t>
      </w:r>
      <w:r>
        <w:rPr>
          <w:rFonts w:hint="eastAsia" w:ascii="仿宋" w:hAnsi="仿宋" w:eastAsia="仿宋" w:cs="Arial"/>
          <w:sz w:val="32"/>
          <w:szCs w:val="32"/>
        </w:rPr>
        <w:t>职能</w:t>
      </w:r>
      <w:r>
        <w:rPr>
          <w:rFonts w:ascii="仿宋" w:hAnsi="仿宋" w:eastAsia="仿宋" w:cs="Arial"/>
          <w:sz w:val="32"/>
          <w:szCs w:val="32"/>
        </w:rPr>
        <w:t>机构负责进行处罚。处理结果</w:t>
      </w:r>
      <w:r>
        <w:rPr>
          <w:rFonts w:hint="eastAsia" w:ascii="仿宋" w:hAnsi="仿宋" w:eastAsia="仿宋" w:cs="Arial"/>
          <w:sz w:val="32"/>
          <w:szCs w:val="32"/>
        </w:rPr>
        <w:t>须</w:t>
      </w:r>
      <w:r>
        <w:rPr>
          <w:rFonts w:ascii="仿宋" w:hAnsi="仿宋" w:eastAsia="仿宋" w:cs="Arial"/>
          <w:sz w:val="32"/>
          <w:szCs w:val="32"/>
        </w:rPr>
        <w:t>报中国篮协纪律</w:t>
      </w:r>
      <w:r>
        <w:rPr>
          <w:rFonts w:hint="eastAsia" w:ascii="仿宋" w:hAnsi="仿宋" w:eastAsia="仿宋" w:cs="Arial"/>
          <w:sz w:val="32"/>
          <w:szCs w:val="32"/>
        </w:rPr>
        <w:t>与道德</w:t>
      </w:r>
      <w:r>
        <w:rPr>
          <w:rFonts w:ascii="仿宋" w:hAnsi="仿宋" w:eastAsia="仿宋" w:cs="Arial"/>
          <w:sz w:val="32"/>
          <w:szCs w:val="32"/>
        </w:rPr>
        <w:t>纪律委员会备案</w:t>
      </w:r>
      <w:r>
        <w:rPr>
          <w:rFonts w:hint="eastAsia" w:ascii="仿宋" w:hAnsi="仿宋" w:eastAsia="仿宋" w:cs="Arial"/>
          <w:sz w:val="32"/>
          <w:szCs w:val="32"/>
        </w:rPr>
        <w:t>。</w:t>
      </w:r>
    </w:p>
    <w:p w14:paraId="7563BCAC">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凡</w:t>
      </w:r>
      <w:r>
        <w:rPr>
          <w:rFonts w:hint="eastAsia" w:ascii="仿宋" w:hAnsi="仿宋" w:eastAsia="仿宋" w:cs="Arial"/>
          <w:sz w:val="32"/>
          <w:szCs w:val="32"/>
        </w:rPr>
        <w:t>是超过授权范围外</w:t>
      </w:r>
      <w:r>
        <w:rPr>
          <w:rFonts w:ascii="仿宋" w:hAnsi="仿宋" w:eastAsia="仿宋" w:cs="Arial"/>
          <w:sz w:val="32"/>
          <w:szCs w:val="32"/>
        </w:rPr>
        <w:t>的处</w:t>
      </w:r>
      <w:r>
        <w:rPr>
          <w:rFonts w:hint="eastAsia" w:ascii="仿宋" w:hAnsi="仿宋" w:eastAsia="仿宋" w:cs="Arial"/>
          <w:sz w:val="32"/>
          <w:szCs w:val="32"/>
        </w:rPr>
        <w:t>罚，须</w:t>
      </w:r>
      <w:r>
        <w:rPr>
          <w:rFonts w:ascii="仿宋" w:hAnsi="仿宋" w:eastAsia="仿宋" w:cs="Arial"/>
          <w:sz w:val="32"/>
          <w:szCs w:val="32"/>
        </w:rPr>
        <w:t>报</w:t>
      </w:r>
      <w:r>
        <w:rPr>
          <w:rFonts w:hint="eastAsia" w:ascii="仿宋" w:hAnsi="仿宋" w:eastAsia="仿宋" w:cs="Arial"/>
          <w:sz w:val="32"/>
          <w:szCs w:val="32"/>
        </w:rPr>
        <w:t>经</w:t>
      </w:r>
      <w:r>
        <w:rPr>
          <w:rFonts w:ascii="仿宋" w:hAnsi="仿宋" w:eastAsia="仿宋" w:cs="Arial"/>
          <w:sz w:val="32"/>
          <w:szCs w:val="32"/>
        </w:rPr>
        <w:t>中国篮协纪律</w:t>
      </w:r>
      <w:r>
        <w:rPr>
          <w:rFonts w:hint="eastAsia" w:ascii="仿宋" w:hAnsi="仿宋" w:eastAsia="仿宋" w:cs="Arial"/>
          <w:sz w:val="32"/>
          <w:szCs w:val="32"/>
        </w:rPr>
        <w:t>与道德</w:t>
      </w:r>
      <w:r>
        <w:rPr>
          <w:rFonts w:ascii="仿宋" w:hAnsi="仿宋" w:eastAsia="仿宋" w:cs="Arial"/>
          <w:sz w:val="32"/>
          <w:szCs w:val="32"/>
        </w:rPr>
        <w:t>委员会</w:t>
      </w:r>
      <w:r>
        <w:rPr>
          <w:rFonts w:hint="eastAsia" w:ascii="仿宋" w:hAnsi="仿宋" w:eastAsia="仿宋" w:cs="Arial"/>
          <w:sz w:val="32"/>
          <w:szCs w:val="32"/>
        </w:rPr>
        <w:t>和上级主管部门</w:t>
      </w:r>
      <w:r>
        <w:rPr>
          <w:rFonts w:ascii="仿宋" w:hAnsi="仿宋" w:eastAsia="仿宋" w:cs="Arial"/>
          <w:sz w:val="32"/>
          <w:szCs w:val="32"/>
        </w:rPr>
        <w:t>批准后实施</w:t>
      </w:r>
      <w:r>
        <w:rPr>
          <w:rFonts w:hint="eastAsia" w:ascii="仿宋" w:hAnsi="仿宋" w:eastAsia="仿宋" w:cs="Arial"/>
          <w:sz w:val="32"/>
          <w:szCs w:val="32"/>
        </w:rPr>
        <w:t>。</w:t>
      </w:r>
    </w:p>
    <w:p w14:paraId="434F088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第三十四条  赛前联席会、组委会会议、规则讲解会</w:t>
      </w:r>
    </w:p>
    <w:p w14:paraId="57CE5A4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（一）在开赛前（一般是比赛前一天晚上19：00-21：00），应举行赛前联席会、组委会会议、规则学习会。可以三会合并，依次举行。</w:t>
      </w:r>
    </w:p>
    <w:p w14:paraId="5161E5AF">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（二）参加人员：组委会成员(当地领导、竞赛负责人、安保负责人等)、比赛监督、技术代表、各队领队、各队主教练、全体运动员、全体裁判员以及记录台组长。由赛区竞赛负责人召集和主持会议。</w:t>
      </w:r>
    </w:p>
    <w:p w14:paraId="69D9198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（三）CBA、WCBA、NBL联赛按联赛手册有关条款执行。主客场比赛一般在比赛当天上午十点举行。</w:t>
      </w:r>
    </w:p>
    <w:p w14:paraId="3CD2F95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（四）主要内容和程序：</w:t>
      </w:r>
    </w:p>
    <w:p w14:paraId="0D44AFB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1.组委会全体会议（赛区竞赛负责人主持）：</w:t>
      </w:r>
    </w:p>
    <w:p w14:paraId="03A16FF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赛区领导致欢迎辞，介绍赛区情况和比赛筹备情况；</w:t>
      </w:r>
    </w:p>
    <w:p w14:paraId="6BD107CA">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主办方比赛监督就赛风赛纪及安全等工作的提出具体要求并予以落实；</w:t>
      </w:r>
    </w:p>
    <w:p w14:paraId="3C00BAC9">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主办方领导讲话（如有）；</w:t>
      </w:r>
    </w:p>
    <w:p w14:paraId="589E17C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2.篮球规则讲解会（裁判长主持，视情举行）</w:t>
      </w:r>
    </w:p>
    <w:p w14:paraId="69803CA8">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对全体教练员、运动员讲解规则，宣讲中国篮协以及本次比赛有关的规定（含特殊规定）；</w:t>
      </w:r>
    </w:p>
    <w:p w14:paraId="265F6A6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3.赛前联席会（运动员退场，技术代表主持）</w:t>
      </w:r>
    </w:p>
    <w:p w14:paraId="762551E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核实参赛运动队名称、队员名单等具体事宜；</w:t>
      </w:r>
    </w:p>
    <w:p w14:paraId="66095A8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检查比赛各队服装和证件（证件可在首场比赛前）；</w:t>
      </w:r>
    </w:p>
    <w:p w14:paraId="752582FA">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落实开幕式、竞赛日程、训练安排、服装颜色、号码和护具、交通食宿等具体事宜。</w:t>
      </w:r>
    </w:p>
    <w:p w14:paraId="1DFFDD3C">
      <w:pPr>
        <w:pStyle w:val="6"/>
        <w:snapToGrid w:val="0"/>
        <w:spacing w:line="560" w:lineRule="exact"/>
        <w:ind w:firstLine="643" w:firstLineChars="200"/>
        <w:rPr>
          <w:rFonts w:ascii="仿宋" w:hAnsi="仿宋" w:eastAsia="仿宋"/>
          <w:b/>
          <w:bCs/>
          <w:sz w:val="32"/>
          <w:szCs w:val="32"/>
        </w:rPr>
      </w:pPr>
    </w:p>
    <w:p w14:paraId="6712CF6F">
      <w:pPr>
        <w:pStyle w:val="6"/>
        <w:snapToGrid w:val="0"/>
        <w:spacing w:line="560" w:lineRule="exact"/>
        <w:jc w:val="center"/>
        <w:rPr>
          <w:rFonts w:hAnsi="宋体"/>
          <w:b/>
          <w:bCs/>
          <w:sz w:val="32"/>
          <w:szCs w:val="32"/>
        </w:rPr>
      </w:pPr>
      <w:r>
        <w:rPr>
          <w:rFonts w:hint="eastAsia" w:hAnsi="宋体"/>
          <w:b/>
          <w:bCs/>
          <w:sz w:val="32"/>
          <w:szCs w:val="32"/>
        </w:rPr>
        <w:t>第五章  赛区和承办单位</w:t>
      </w:r>
    </w:p>
    <w:p w14:paraId="2454C268">
      <w:pPr>
        <w:pStyle w:val="6"/>
        <w:snapToGrid w:val="0"/>
        <w:spacing w:line="560" w:lineRule="exact"/>
        <w:jc w:val="center"/>
        <w:rPr>
          <w:rFonts w:hAnsi="宋体"/>
          <w:b/>
          <w:bCs/>
          <w:sz w:val="32"/>
          <w:szCs w:val="32"/>
        </w:rPr>
      </w:pPr>
    </w:p>
    <w:p w14:paraId="01CA6BD2">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第三十五条  根据年度竞赛计划和竞赛规程，中国篮协或其授权机构与提出</w:t>
      </w:r>
      <w:r>
        <w:rPr>
          <w:rFonts w:ascii="仿宋" w:hAnsi="仿宋" w:eastAsia="仿宋" w:cs="Arial"/>
          <w:sz w:val="32"/>
          <w:szCs w:val="32"/>
        </w:rPr>
        <w:t>申办</w:t>
      </w:r>
      <w:r>
        <w:rPr>
          <w:rFonts w:hint="eastAsia" w:ascii="仿宋" w:hAnsi="仿宋" w:eastAsia="仿宋" w:cs="Arial"/>
          <w:sz w:val="32"/>
          <w:szCs w:val="32"/>
        </w:rPr>
        <w:t>中国篮协赛事活动</w:t>
      </w:r>
      <w:r>
        <w:rPr>
          <w:rFonts w:ascii="仿宋" w:hAnsi="仿宋" w:eastAsia="仿宋" w:cs="Arial"/>
          <w:sz w:val="32"/>
          <w:szCs w:val="32"/>
        </w:rPr>
        <w:t>的组织和</w:t>
      </w:r>
      <w:r>
        <w:rPr>
          <w:rFonts w:hint="eastAsia" w:ascii="仿宋" w:hAnsi="仿宋" w:eastAsia="仿宋" w:cs="Arial"/>
          <w:sz w:val="32"/>
          <w:szCs w:val="32"/>
        </w:rPr>
        <w:t>相关人员协商后，签订承办协议书，确定赛区和承办单位。</w:t>
      </w:r>
    </w:p>
    <w:p w14:paraId="4442C4D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第三十六条  省级体育竞赛管理部门、单位会员可直接向中国篮协或授权机构，申办全国性或区域性篮球比赛。其他单位申办全国性比赛须经由省级体育竞赛管理部门或省级篮协同意或备案，并接受省级体育竞赛管理部门或省级篮协的监督指导。</w:t>
      </w:r>
    </w:p>
    <w:p w14:paraId="2DA0E2BF">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第三十七条  承办或申请承办单位必须具备符合篮球竞赛规程和篮球规则的场地和器材。赛区组织、接待、管理等工作依据中国篮协有关规定及双方签订的承办协议书要求，至少在赛前两个月成立赛事组委会，确保比赛顺利进行。</w:t>
      </w:r>
    </w:p>
    <w:p w14:paraId="5624124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第三十八条  赛区组委会（承办单位等）</w:t>
      </w:r>
      <w:r>
        <w:rPr>
          <w:rFonts w:ascii="仿宋" w:hAnsi="仿宋" w:eastAsia="仿宋" w:cs="Arial"/>
          <w:sz w:val="32"/>
          <w:szCs w:val="32"/>
        </w:rPr>
        <w:t>须</w:t>
      </w:r>
      <w:r>
        <w:rPr>
          <w:rFonts w:hint="eastAsia" w:ascii="仿宋" w:hAnsi="仿宋" w:eastAsia="仿宋" w:cs="Arial"/>
          <w:sz w:val="32"/>
          <w:szCs w:val="32"/>
        </w:rPr>
        <w:t>高度重视并做好赛事的安全保障工作</w:t>
      </w:r>
      <w:r>
        <w:rPr>
          <w:rFonts w:ascii="仿宋" w:hAnsi="仿宋" w:eastAsia="仿宋"/>
          <w:sz w:val="32"/>
          <w:szCs w:val="32"/>
        </w:rPr>
        <w:t>，</w:t>
      </w:r>
      <w:r>
        <w:rPr>
          <w:rFonts w:hint="eastAsia" w:ascii="仿宋" w:hAnsi="仿宋" w:eastAsia="仿宋" w:cs="Arial"/>
          <w:sz w:val="32"/>
          <w:szCs w:val="32"/>
        </w:rPr>
        <w:t>坚持“安全第一、防范为主”的原则，做到定人、定职、定岗，拟定应急</w:t>
      </w:r>
      <w:r>
        <w:rPr>
          <w:rFonts w:ascii="仿宋" w:hAnsi="仿宋" w:eastAsia="仿宋" w:cs="Arial"/>
          <w:sz w:val="32"/>
          <w:szCs w:val="32"/>
        </w:rPr>
        <w:t>预案</w:t>
      </w:r>
      <w:r>
        <w:rPr>
          <w:rFonts w:hint="eastAsia" w:ascii="仿宋" w:hAnsi="仿宋" w:eastAsia="仿宋" w:cs="Arial"/>
          <w:sz w:val="32"/>
          <w:szCs w:val="32"/>
        </w:rPr>
        <w:t>等。具体规定详见《中国篮球协会赛事活动安全工作规定》。</w:t>
      </w:r>
    </w:p>
    <w:p w14:paraId="07AE54D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第三十九条  赛区组委会（承办单位等）应做好记录台、技术统计、录像等有关工作，积极配合中国篮协有关技术人员做好信息统计和公示工作。每场比赛必须安排专人全程拍摄（或录制电视网络转播信号），保证视频资料完整、准确、清晰可用，并及时提交技术代表和裁判讲师，用于裁判学习以及纪律、仲裁等工作分析。全部比赛结束后，汇总刻录成光盘或硬盘，交组委会或和中国篮协职能部门留存备查。</w:t>
      </w:r>
    </w:p>
    <w:p w14:paraId="72C1719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第四十条  赛区组委会（承办单位等）应重视宣传引导，积极配合做好宣传工作，按赛事相关规定，在赛场规范悬挂国旗和会旗。规范赛事信息发布，杜绝虚假、不实、不良信息的传播扩散。对重大、敏感问题和突发事件要提前做好应急预案。弘扬积极向上的篮球文化与体育精神，为赛事营造良好的舆论环境。</w:t>
      </w:r>
    </w:p>
    <w:p w14:paraId="7194F73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组委会（承办单位等）要加强赛场横幅、标语检查工作，严禁在赛场出现危险物品及可能破坏赛场秩序的不文明不健康、有侮辱或谩骂性的旗帜、标语。严禁出现任何“藏独”、“疆独”、“台独”、“法轮功”等破坏民族团结、分裂国家、违犯公序良俗的言论、旗帜和标语；赛场内和看台第一层不得出现大旗、锣鼓等可能影响公正竞赛的物品；严禁出现侮辱攻击运动员、裁判员、教练员的标语、旗帜、图片。</w:t>
      </w:r>
    </w:p>
    <w:p w14:paraId="12A9595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第四十一条  赛区组委会（承办单位等）应重视赛事（包括群众性和商业性赛事）的赛风赛纪教育和安全管理工作，落实责任主体，拟定管理办法和具体工作措施，详见《中国篮球协会赛风赛纪管理办法》《中国篮球协会赛事活动安全工作规定》。</w:t>
      </w:r>
    </w:p>
    <w:p w14:paraId="52A1AE23">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第四十二条  赛区组委会（承办单位等）应做好赛事（包括群众性和商业性赛事）体育道德风尚奖及各单项技术的统计评选工作和颁奖工作，赛事结束时颁发。见附件2：中国篮球协会体育道德风尚奖评选办法。</w:t>
      </w:r>
    </w:p>
    <w:p w14:paraId="745911E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第四十三条  经由赛事管理部门、各参赛运动队、技术代表等推荐，每年评选出该年度若干名优秀赛区，颁发奖杯、奖牌、奖金等予以奖励。具体评选办法，详见赛事（联赛）手册等。</w:t>
      </w:r>
    </w:p>
    <w:p w14:paraId="58E0A1F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第四十四条  为确保各级各类赛事的协调有序，确保安全，中国篮协不支持、不鼓励举办跨省市、跨行业的大型商业赛事，不参与和不安排技术官员参与此类大型赛事。</w:t>
      </w:r>
    </w:p>
    <w:p w14:paraId="7A2970D3">
      <w:pPr>
        <w:pStyle w:val="6"/>
        <w:snapToGrid w:val="0"/>
        <w:spacing w:line="560" w:lineRule="exact"/>
        <w:ind w:firstLine="640" w:firstLineChars="200"/>
        <w:rPr>
          <w:rFonts w:hAnsi="宋体"/>
          <w:sz w:val="32"/>
          <w:szCs w:val="32"/>
        </w:rPr>
      </w:pPr>
    </w:p>
    <w:p w14:paraId="06206675">
      <w:pPr>
        <w:pStyle w:val="6"/>
        <w:snapToGrid w:val="0"/>
        <w:spacing w:line="560" w:lineRule="exact"/>
        <w:jc w:val="center"/>
        <w:rPr>
          <w:rFonts w:hAnsi="宋体"/>
          <w:b/>
          <w:bCs/>
          <w:sz w:val="32"/>
          <w:szCs w:val="32"/>
        </w:rPr>
      </w:pPr>
      <w:r>
        <w:rPr>
          <w:rFonts w:hint="eastAsia" w:hAnsi="宋体"/>
          <w:b/>
          <w:bCs/>
          <w:sz w:val="32"/>
          <w:szCs w:val="32"/>
        </w:rPr>
        <w:t>第六章  参赛运动队</w:t>
      </w:r>
    </w:p>
    <w:p w14:paraId="0F72F78A">
      <w:pPr>
        <w:pStyle w:val="6"/>
        <w:snapToGrid w:val="0"/>
        <w:spacing w:line="560" w:lineRule="exact"/>
        <w:jc w:val="center"/>
        <w:rPr>
          <w:rFonts w:hAnsi="宋体"/>
          <w:b/>
          <w:bCs/>
          <w:sz w:val="32"/>
          <w:szCs w:val="32"/>
        </w:rPr>
      </w:pPr>
    </w:p>
    <w:p w14:paraId="3A88FB92">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 xml:space="preserve">第四十五条  </w:t>
      </w:r>
      <w:r>
        <w:rPr>
          <w:rFonts w:ascii="仿宋" w:hAnsi="仿宋" w:eastAsia="仿宋" w:cs="Arial"/>
          <w:sz w:val="32"/>
          <w:szCs w:val="32"/>
        </w:rPr>
        <w:t>公民、法人和其他组织依法参与</w:t>
      </w:r>
      <w:r>
        <w:rPr>
          <w:rFonts w:hint="eastAsia" w:ascii="仿宋" w:hAnsi="仿宋" w:eastAsia="仿宋" w:cs="Arial"/>
          <w:sz w:val="32"/>
          <w:szCs w:val="32"/>
        </w:rPr>
        <w:t>篮球</w:t>
      </w:r>
      <w:r>
        <w:rPr>
          <w:rFonts w:ascii="仿宋" w:hAnsi="仿宋" w:eastAsia="仿宋" w:cs="Arial"/>
          <w:sz w:val="32"/>
          <w:szCs w:val="32"/>
        </w:rPr>
        <w:t>赛事活动，享有获得基本安全保障、赛事服务等权利。同时，赛事活动参与者应当履行诚信、安全、有序参赛的义务。</w:t>
      </w:r>
      <w:r>
        <w:rPr>
          <w:rFonts w:hint="eastAsia" w:ascii="仿宋" w:hAnsi="仿宋" w:eastAsia="仿宋" w:cs="Arial"/>
          <w:sz w:val="32"/>
          <w:szCs w:val="32"/>
        </w:rPr>
        <w:t>详见《中国篮球协会赛事活动安全工作规定》。</w:t>
      </w:r>
    </w:p>
    <w:p w14:paraId="42448B82">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维护全国篮球比赛的形象和荣誉是每个参赛单位应履行的职责和义务，运动员、教练员、裁判员和工作人员应切实履行赛场管理有关规定和行业规范。详见《中国篮球协会赛事赛风赛纪管理办法》。</w:t>
      </w:r>
    </w:p>
    <w:p w14:paraId="5A61B1DC">
      <w:pPr>
        <w:pStyle w:val="11"/>
        <w:autoSpaceDE w:val="0"/>
        <w:autoSpaceDN w:val="0"/>
        <w:spacing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 xml:space="preserve"> 第四十六条 参赛运动队须按《中国篮球协会注册管理办法》有关规定进行年度注册合格后，方有资格参加中国篮协举办的全国性正式比赛。</w:t>
      </w:r>
    </w:p>
    <w:p w14:paraId="632F8749">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特殊情况不需要注册的，按具体赛事竞赛规程有关规定执行。如提交附件3：XX  篮球赛代表资格协议证明书。</w:t>
      </w:r>
    </w:p>
    <w:p w14:paraId="08692AC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第四十七条  参赛运动队须按中国篮协有关规定规范队伍名称、标识、比赛服装（含服装广告、鞋、配饰），遵循赛事有关规定，运动员服装必须整齐、统一、规范，服装上的所有标志和广告必须符合篮球规则和主办单位的要求（详见附件4：中国篮球协会参赛队名称和比赛服装规范）。</w:t>
      </w:r>
    </w:p>
    <w:p w14:paraId="4818D61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第四十八条  参赛运动队须按竞赛规程如期报名参赛，填写报名表（详见附件5：中国篮球协会参赛球队报名表）。</w:t>
      </w:r>
    </w:p>
    <w:p w14:paraId="1406275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第四十九条  参赛运动队按规定准时到赛区报到，准时参加赛前联席会、赛后新闻发布会及主办单位安排的公益活动，自觉遵守赛区各项规定。</w:t>
      </w:r>
    </w:p>
    <w:p w14:paraId="2EF3247F">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第五十条  凡确认参赛并已列入竞赛规程的单位，不得退出比赛（如遇不可抗力事件的除外），违者按照《中国篮球协会纪律准则和处罚规定》有关规定予以处罚。</w:t>
      </w:r>
    </w:p>
    <w:p w14:paraId="719AE3C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第五十一条  在中国篮协注册的运动队如受邀参加涉外竞赛并跨省市的赛事活动，须报中国篮协备案。如未经备案参加涉外竞赛并造成不良影响的球队，将按《中国篮球协会纪律准则和</w:t>
      </w:r>
      <w:r>
        <w:rPr>
          <w:rFonts w:ascii="仿宋" w:hAnsi="仿宋" w:eastAsia="仿宋" w:cs="Arial"/>
          <w:sz w:val="32"/>
          <w:szCs w:val="32"/>
        </w:rPr>
        <w:t>处罚规定</w:t>
      </w:r>
      <w:r>
        <w:rPr>
          <w:rFonts w:hint="eastAsia" w:ascii="仿宋" w:hAnsi="仿宋" w:eastAsia="仿宋" w:cs="Arial"/>
          <w:sz w:val="32"/>
          <w:szCs w:val="32"/>
        </w:rPr>
        <w:t>》或适用的有关规定予以处罚。</w:t>
      </w:r>
    </w:p>
    <w:p w14:paraId="7F8A02D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第五十二条  参加重要全国性篮球赛事，参赛运动队及其代表应与中国篮协或组委会签订参赛承诺书，明确职责。</w:t>
      </w:r>
      <w:r>
        <w:rPr>
          <w:rFonts w:ascii="仿宋" w:hAnsi="仿宋" w:eastAsia="仿宋"/>
          <w:color w:val="000000"/>
          <w:sz w:val="32"/>
          <w:szCs w:val="32"/>
        </w:rPr>
        <w:t>未成年人或限制民事行为能力人参加</w:t>
      </w:r>
      <w:r>
        <w:rPr>
          <w:rFonts w:hint="eastAsia" w:ascii="仿宋" w:hAnsi="仿宋" w:eastAsia="仿宋"/>
          <w:color w:val="000000"/>
          <w:sz w:val="32"/>
          <w:szCs w:val="32"/>
        </w:rPr>
        <w:t>篮球</w:t>
      </w:r>
      <w:r>
        <w:rPr>
          <w:rFonts w:ascii="仿宋" w:hAnsi="仿宋" w:eastAsia="仿宋"/>
          <w:color w:val="000000"/>
          <w:sz w:val="32"/>
          <w:szCs w:val="32"/>
        </w:rPr>
        <w:t>赛事活动的，应由其监护人签署承诺书</w:t>
      </w:r>
      <w:r>
        <w:rPr>
          <w:rFonts w:hint="eastAsia" w:ascii="仿宋" w:hAnsi="仿宋" w:eastAsia="仿宋"/>
          <w:color w:val="000000"/>
          <w:sz w:val="32"/>
          <w:szCs w:val="32"/>
        </w:rPr>
        <w:t>（</w:t>
      </w:r>
      <w:r>
        <w:rPr>
          <w:rFonts w:hint="eastAsia" w:ascii="仿宋" w:hAnsi="仿宋" w:eastAsia="仿宋" w:cs="Arial"/>
          <w:sz w:val="32"/>
          <w:szCs w:val="32"/>
        </w:rPr>
        <w:t>详见附件6：中国篮球协会参赛承诺书</w:t>
      </w:r>
      <w:r>
        <w:rPr>
          <w:rFonts w:hint="eastAsia" w:ascii="仿宋" w:hAnsi="仿宋" w:eastAsia="仿宋"/>
          <w:color w:val="000000"/>
          <w:sz w:val="32"/>
          <w:szCs w:val="32"/>
        </w:rPr>
        <w:t>）。</w:t>
      </w:r>
    </w:p>
    <w:p w14:paraId="7317BF0B">
      <w:pPr>
        <w:pStyle w:val="6"/>
        <w:snapToGrid w:val="0"/>
        <w:spacing w:line="560" w:lineRule="exact"/>
        <w:ind w:firstLine="640" w:firstLineChars="200"/>
        <w:jc w:val="center"/>
        <w:rPr>
          <w:rFonts w:ascii="仿宋" w:hAnsi="仿宋" w:eastAsia="仿宋"/>
          <w:sz w:val="32"/>
          <w:szCs w:val="32"/>
        </w:rPr>
      </w:pPr>
    </w:p>
    <w:p w14:paraId="208CDE3D">
      <w:pPr>
        <w:pStyle w:val="6"/>
        <w:snapToGrid w:val="0"/>
        <w:spacing w:line="560" w:lineRule="exact"/>
        <w:jc w:val="center"/>
        <w:rPr>
          <w:rFonts w:hAnsi="宋体"/>
          <w:b/>
          <w:bCs/>
          <w:sz w:val="32"/>
          <w:szCs w:val="32"/>
        </w:rPr>
      </w:pPr>
      <w:r>
        <w:rPr>
          <w:rFonts w:hint="eastAsia" w:hAnsi="宋体"/>
          <w:b/>
          <w:bCs/>
          <w:sz w:val="32"/>
          <w:szCs w:val="32"/>
        </w:rPr>
        <w:t>第七章  申诉、仲裁、反兴奋剂</w:t>
      </w:r>
    </w:p>
    <w:p w14:paraId="539F2D2B">
      <w:pPr>
        <w:pStyle w:val="6"/>
        <w:snapToGrid w:val="0"/>
        <w:spacing w:line="560" w:lineRule="exact"/>
        <w:jc w:val="center"/>
        <w:rPr>
          <w:rFonts w:hAnsi="宋体"/>
          <w:b/>
          <w:bCs/>
          <w:sz w:val="32"/>
          <w:szCs w:val="32"/>
        </w:rPr>
      </w:pPr>
    </w:p>
    <w:p w14:paraId="6F2A733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 xml:space="preserve">第五十三条  </w:t>
      </w:r>
      <w:r>
        <w:rPr>
          <w:rFonts w:ascii="仿宋" w:hAnsi="仿宋" w:eastAsia="仿宋" w:cs="Arial"/>
          <w:sz w:val="32"/>
          <w:szCs w:val="32"/>
        </w:rPr>
        <w:t>各项篮球赛事的纠纷和申诉</w:t>
      </w:r>
      <w:r>
        <w:rPr>
          <w:rFonts w:hint="eastAsia" w:ascii="仿宋" w:hAnsi="仿宋" w:eastAsia="仿宋" w:cs="Arial"/>
          <w:sz w:val="32"/>
          <w:szCs w:val="32"/>
        </w:rPr>
        <w:t>，</w:t>
      </w:r>
      <w:r>
        <w:rPr>
          <w:rFonts w:ascii="仿宋" w:hAnsi="仿宋" w:eastAsia="仿宋" w:cs="Arial"/>
          <w:sz w:val="32"/>
          <w:szCs w:val="32"/>
        </w:rPr>
        <w:t>由赛</w:t>
      </w:r>
      <w:r>
        <w:rPr>
          <w:rFonts w:hint="eastAsia" w:ascii="仿宋" w:hAnsi="仿宋" w:eastAsia="仿宋" w:cs="Arial"/>
          <w:sz w:val="32"/>
          <w:szCs w:val="32"/>
        </w:rPr>
        <w:t>事组委会</w:t>
      </w:r>
      <w:r>
        <w:rPr>
          <w:rFonts w:ascii="仿宋" w:hAnsi="仿宋" w:eastAsia="仿宋" w:cs="Arial"/>
          <w:sz w:val="32"/>
          <w:szCs w:val="32"/>
        </w:rPr>
        <w:t>成立的</w:t>
      </w:r>
      <w:r>
        <w:rPr>
          <w:rFonts w:hint="eastAsia" w:ascii="仿宋" w:hAnsi="仿宋" w:eastAsia="仿宋" w:cs="Arial"/>
          <w:sz w:val="32"/>
          <w:szCs w:val="32"/>
        </w:rPr>
        <w:t>有关专门机构如纠纷解决委员会（名称也可为赛事仲裁委员会或申诉委员会）</w:t>
      </w:r>
      <w:r>
        <w:rPr>
          <w:rFonts w:ascii="仿宋" w:hAnsi="仿宋" w:eastAsia="仿宋" w:cs="Arial"/>
          <w:sz w:val="32"/>
          <w:szCs w:val="32"/>
        </w:rPr>
        <w:t>负责处理</w:t>
      </w:r>
      <w:r>
        <w:rPr>
          <w:rFonts w:hint="eastAsia" w:ascii="仿宋" w:hAnsi="仿宋" w:eastAsia="仿宋" w:cs="Arial"/>
          <w:sz w:val="32"/>
          <w:szCs w:val="32"/>
        </w:rPr>
        <w:t>。其</w:t>
      </w:r>
      <w:r>
        <w:rPr>
          <w:rFonts w:ascii="仿宋" w:hAnsi="仿宋" w:eastAsia="仿宋" w:cs="Arial"/>
          <w:sz w:val="32"/>
          <w:szCs w:val="32"/>
        </w:rPr>
        <w:t>人数为</w:t>
      </w:r>
      <w:r>
        <w:rPr>
          <w:rFonts w:hint="eastAsia" w:ascii="仿宋" w:hAnsi="仿宋" w:eastAsia="仿宋" w:cs="Arial"/>
          <w:sz w:val="32"/>
          <w:szCs w:val="32"/>
        </w:rPr>
        <w:t>单数（一般是</w:t>
      </w:r>
      <w:r>
        <w:rPr>
          <w:rFonts w:ascii="仿宋" w:hAnsi="仿宋" w:eastAsia="仿宋" w:cs="Arial"/>
          <w:sz w:val="32"/>
          <w:szCs w:val="32"/>
        </w:rPr>
        <w:t>3人或5人</w:t>
      </w:r>
      <w:r>
        <w:rPr>
          <w:rFonts w:hint="eastAsia" w:ascii="仿宋" w:hAnsi="仿宋" w:eastAsia="仿宋" w:cs="Arial"/>
          <w:sz w:val="32"/>
          <w:szCs w:val="32"/>
        </w:rPr>
        <w:t>）</w:t>
      </w:r>
      <w:r>
        <w:rPr>
          <w:rFonts w:ascii="仿宋" w:hAnsi="仿宋" w:eastAsia="仿宋" w:cs="Arial"/>
          <w:sz w:val="32"/>
          <w:szCs w:val="32"/>
        </w:rPr>
        <w:t>，原则上包括主办单位选派1人，技术代表1人，独立公正</w:t>
      </w:r>
      <w:r>
        <w:rPr>
          <w:rFonts w:hint="eastAsia" w:ascii="仿宋" w:hAnsi="仿宋" w:eastAsia="仿宋" w:cs="Arial"/>
          <w:sz w:val="32"/>
          <w:szCs w:val="32"/>
        </w:rPr>
        <w:t>且竞赛经验丰富的</w:t>
      </w:r>
      <w:r>
        <w:rPr>
          <w:rFonts w:ascii="仿宋" w:hAnsi="仿宋" w:eastAsia="仿宋" w:cs="Arial"/>
          <w:sz w:val="32"/>
          <w:szCs w:val="32"/>
        </w:rPr>
        <w:t>人士1-3人。</w:t>
      </w:r>
      <w:r>
        <w:rPr>
          <w:rFonts w:hint="eastAsia" w:ascii="仿宋" w:hAnsi="仿宋" w:eastAsia="仿宋" w:cs="Arial"/>
          <w:sz w:val="32"/>
          <w:szCs w:val="32"/>
        </w:rPr>
        <w:t>该</w:t>
      </w:r>
      <w:r>
        <w:rPr>
          <w:rFonts w:ascii="仿宋" w:hAnsi="仿宋" w:eastAsia="仿宋" w:cs="Arial"/>
          <w:sz w:val="32"/>
          <w:szCs w:val="32"/>
        </w:rPr>
        <w:t>委员会不受理篮球规则中属于裁判员职责权限内的有关事项。</w:t>
      </w:r>
    </w:p>
    <w:p w14:paraId="7DBC5C5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第五十四条  提出书面申诉必须按规则规定或赛事颁布的规定时间、规定范围和规定程序，提出书面申诉，应同时缴纳申诉金10</w:t>
      </w:r>
      <w:r>
        <w:rPr>
          <w:rFonts w:ascii="仿宋" w:hAnsi="仿宋" w:eastAsia="仿宋" w:cs="Arial"/>
          <w:sz w:val="32"/>
          <w:szCs w:val="32"/>
        </w:rPr>
        <w:t>000</w:t>
      </w:r>
      <w:r>
        <w:rPr>
          <w:rFonts w:hint="eastAsia" w:ascii="仿宋" w:hAnsi="仿宋" w:eastAsia="仿宋" w:cs="Arial"/>
          <w:sz w:val="32"/>
          <w:szCs w:val="32"/>
        </w:rPr>
        <w:t>元人民币或赛事规定数额。申诉成功的，应退还申诉金，申诉败诉的，不退还申诉金。</w:t>
      </w:r>
    </w:p>
    <w:p w14:paraId="73035A9F">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未能按规定时限、内容及程序提交的，视为问题反映。主动放弃申诉，已交纳的申诉金不予退还（赛事另有规定的除外）。</w:t>
      </w:r>
    </w:p>
    <w:p w14:paraId="538A98D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第五十五条  当值的比赛监督或技术代表接到申诉球队合规提交的申诉书后，应于</w:t>
      </w:r>
      <w:r>
        <w:rPr>
          <w:rFonts w:ascii="仿宋" w:hAnsi="仿宋" w:eastAsia="仿宋" w:cs="Arial"/>
          <w:sz w:val="32"/>
          <w:szCs w:val="32"/>
        </w:rPr>
        <w:t>1</w:t>
      </w:r>
      <w:r>
        <w:rPr>
          <w:rFonts w:hint="eastAsia" w:ascii="仿宋" w:hAnsi="仿宋" w:eastAsia="仿宋" w:cs="Arial"/>
          <w:sz w:val="32"/>
          <w:szCs w:val="32"/>
        </w:rPr>
        <w:t>小时内向主办单位竞赛部门报告该事件，并在</w:t>
      </w:r>
      <w:r>
        <w:rPr>
          <w:rFonts w:ascii="仿宋" w:hAnsi="仿宋" w:eastAsia="仿宋" w:cs="Arial"/>
          <w:sz w:val="32"/>
          <w:szCs w:val="32"/>
        </w:rPr>
        <w:t>12</w:t>
      </w:r>
      <w:r>
        <w:rPr>
          <w:rFonts w:hint="eastAsia" w:ascii="仿宋" w:hAnsi="仿宋" w:eastAsia="仿宋" w:cs="Arial"/>
          <w:sz w:val="32"/>
          <w:szCs w:val="32"/>
        </w:rPr>
        <w:t>小时内提交书面报告（含赛区有关人员和裁判员书面报告）。</w:t>
      </w:r>
    </w:p>
    <w:p w14:paraId="6C56BEB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第五十六条  赛事专门机构根据申诉书、当值技术代表报告和有关单位或个人报告等，民主协商，进行调查，进行合议，依规及时做出书面裁决。如果裁决申诉理由成立，已缴纳的申诉金予以退回，并依规纠正。</w:t>
      </w:r>
    </w:p>
    <w:p w14:paraId="0007245F">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第五十七条  申诉球队或俱乐部不同意赛事专门机构裁决的或申诉没有得到解决的，有权向中国篮球协会纠纷解决委员会提出申诉。</w:t>
      </w:r>
    </w:p>
    <w:p w14:paraId="2411364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第五十八条  中国篮球协会纠纷解决委员会依据《中国篮球协会纠纷解决委员会工作规则》，负责处理篮球行业争议、赛事纠纷和申诉。</w:t>
      </w:r>
    </w:p>
    <w:p w14:paraId="19B5FCB3">
      <w:pPr>
        <w:spacing w:line="560" w:lineRule="exact"/>
        <w:ind w:firstLine="640" w:firstLineChars="200"/>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属于《中华人民共和国体育法》规定的体育仲裁管辖范围的纠纷，应当首先提交“中国篮球协会纠纷解决委员会”进行解决。当事人对未及时处理的纠纷或者对作出处理结果不服的，可以依法提交中国体育仲裁委员会仲裁。</w:t>
      </w:r>
    </w:p>
    <w:p w14:paraId="461D995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第五十九条  各参赛队和赛区务必高度重视反兴奋剂工作，遵循国家体育总局《反兴奋剂管理办法》和国际组织有关规定，履行主体责任。赛事工作人员积极配合反兴奋人员的宣传教育和各项检查工作。比赛场馆须有兴奋剂检查的工作房间和有关设施，赛区组委会（承办单位）做好运动员食品安全保障工作，并采取有效措施防范食源性兴奋剂问题的发生。</w:t>
      </w:r>
    </w:p>
    <w:p w14:paraId="228C2D4F">
      <w:pPr>
        <w:pStyle w:val="6"/>
        <w:snapToGrid w:val="0"/>
        <w:spacing w:line="560" w:lineRule="exact"/>
        <w:ind w:firstLine="640" w:firstLineChars="200"/>
        <w:rPr>
          <w:rFonts w:ascii="仿宋" w:hAnsi="仿宋" w:eastAsia="仿宋"/>
          <w:bCs/>
          <w:sz w:val="32"/>
          <w:szCs w:val="32"/>
        </w:rPr>
      </w:pPr>
    </w:p>
    <w:p w14:paraId="6F75AFF7">
      <w:pPr>
        <w:pStyle w:val="6"/>
        <w:snapToGrid w:val="0"/>
        <w:spacing w:line="560" w:lineRule="exact"/>
        <w:jc w:val="center"/>
        <w:rPr>
          <w:rFonts w:ascii="仿宋" w:hAnsi="仿宋" w:eastAsia="仿宋"/>
          <w:b/>
          <w:bCs/>
          <w:sz w:val="32"/>
          <w:szCs w:val="32"/>
        </w:rPr>
      </w:pPr>
      <w:r>
        <w:rPr>
          <w:rFonts w:hint="eastAsia" w:ascii="仿宋" w:hAnsi="仿宋" w:eastAsia="仿宋"/>
          <w:b/>
          <w:bCs/>
          <w:sz w:val="32"/>
          <w:szCs w:val="32"/>
        </w:rPr>
        <w:t>第八章  奖励和处罚</w:t>
      </w:r>
    </w:p>
    <w:p w14:paraId="21050328">
      <w:pPr>
        <w:pStyle w:val="6"/>
        <w:snapToGrid w:val="0"/>
        <w:spacing w:line="560" w:lineRule="exact"/>
        <w:ind w:firstLine="640" w:firstLineChars="200"/>
        <w:rPr>
          <w:rFonts w:ascii="仿宋" w:hAnsi="仿宋" w:eastAsia="仿宋"/>
          <w:bCs/>
          <w:sz w:val="32"/>
          <w:szCs w:val="32"/>
        </w:rPr>
      </w:pPr>
    </w:p>
    <w:p w14:paraId="07E2FF9E">
      <w:pPr>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第六十条  每次赛事应提前拟定表彰和奖励计划，在竞赛规程或联赛手册中需明确奖励名称、有关评选和表彰事项，包括名次奖励（奖杯、奖牌和证书）、优秀赛区、体育道德风尚运动队、运动员、裁判员、技术统计单项奖（得分、篮板等）以及优秀或最佳 XX 等奖项。对多次获奖或确有突出贡献者，建立篮球名人堂和相关荣誉体系奖，予以表彰。</w:t>
      </w:r>
    </w:p>
    <w:p w14:paraId="75076943">
      <w:pPr>
        <w:spacing w:line="560" w:lineRule="exact"/>
        <w:ind w:firstLine="640" w:firstLineChars="200"/>
        <w:rPr>
          <w:rFonts w:ascii="仿宋" w:hAnsi="仿宋" w:eastAsia="仿宋"/>
          <w:sz w:val="32"/>
          <w:szCs w:val="32"/>
        </w:rPr>
      </w:pPr>
      <w:r>
        <w:rPr>
          <w:rFonts w:hint="eastAsia" w:ascii="仿宋" w:hAnsi="仿宋" w:eastAsia="仿宋" w:cs="宋体"/>
          <w:sz w:val="32"/>
          <w:szCs w:val="32"/>
        </w:rPr>
        <w:t xml:space="preserve">第六十一条  </w:t>
      </w:r>
      <w:r>
        <w:rPr>
          <w:rFonts w:hint="eastAsia" w:ascii="仿宋" w:hAnsi="仿宋" w:eastAsia="仿宋"/>
          <w:sz w:val="32"/>
          <w:szCs w:val="32"/>
        </w:rPr>
        <w:t>凡发生与赛事活动有关的违纪违规行为,一律按照《中国篮球协会纪律准则和处罚规定》或经组委会审定并提前颁发的纪律准则、处罚规定有关规定处理。</w:t>
      </w:r>
    </w:p>
    <w:p w14:paraId="73C60879">
      <w:pPr>
        <w:spacing w:line="560" w:lineRule="exact"/>
        <w:ind w:firstLine="640" w:firstLineChars="200"/>
        <w:rPr>
          <w:rFonts w:ascii="仿宋" w:hAnsi="仿宋" w:eastAsia="仿宋"/>
          <w:sz w:val="32"/>
          <w:szCs w:val="32"/>
        </w:rPr>
      </w:pPr>
      <w:r>
        <w:rPr>
          <w:rFonts w:hint="eastAsia" w:ascii="仿宋" w:hAnsi="仿宋" w:eastAsia="仿宋" w:cs="宋体"/>
          <w:sz w:val="32"/>
          <w:szCs w:val="32"/>
        </w:rPr>
        <w:t>第六十二条  篮球赛事活动因自然灾害、政府行为、社会异常事件等因素</w:t>
      </w:r>
      <w:r>
        <w:rPr>
          <w:rFonts w:hint="eastAsia" w:ascii="仿宋" w:hAnsi="仿宋" w:eastAsia="仿宋"/>
          <w:sz w:val="32"/>
          <w:szCs w:val="32"/>
        </w:rPr>
        <w:t>确需变更时间、地点、内容、规模或取消的，主办方应当在获得相关信息后，启动“熔断”机制（详见《中国篮球协会赛事活动安全工作规定》），并及时公告。</w:t>
      </w:r>
    </w:p>
    <w:p w14:paraId="0C98AD53">
      <w:pPr>
        <w:spacing w:line="560" w:lineRule="exact"/>
        <w:ind w:firstLine="640" w:firstLineChars="200"/>
        <w:rPr>
          <w:rFonts w:ascii="仿宋" w:hAnsi="仿宋" w:eastAsia="仿宋"/>
          <w:sz w:val="32"/>
          <w:szCs w:val="32"/>
        </w:rPr>
      </w:pPr>
      <w:r>
        <w:rPr>
          <w:rFonts w:hint="eastAsia" w:ascii="仿宋" w:hAnsi="仿宋" w:eastAsia="仿宋"/>
          <w:sz w:val="32"/>
          <w:szCs w:val="32"/>
        </w:rPr>
        <w:t>有条件恢复比赛的，因尽量恢复中断的比赛。如不能恢复比赛的，根据赛事竞赛规程、篮球规则并结合比赛的进度、各队成绩，确定本次比赛名次。</w:t>
      </w:r>
    </w:p>
    <w:p w14:paraId="3C13EB56">
      <w:pPr>
        <w:spacing w:line="560" w:lineRule="exact"/>
        <w:ind w:firstLine="640" w:firstLineChars="200"/>
        <w:rPr>
          <w:rFonts w:ascii="仿宋" w:hAnsi="仿宋" w:eastAsia="仿宋"/>
          <w:sz w:val="32"/>
          <w:szCs w:val="32"/>
        </w:rPr>
      </w:pPr>
      <w:r>
        <w:rPr>
          <w:rFonts w:hint="eastAsia" w:ascii="仿宋" w:hAnsi="仿宋" w:eastAsia="仿宋"/>
          <w:sz w:val="32"/>
          <w:szCs w:val="32"/>
        </w:rPr>
        <w:t>因变更或取消赛事活动造成赛事相关方损失的，举办方应当按照协议或规定，予以适当补偿。</w:t>
      </w:r>
    </w:p>
    <w:p w14:paraId="0CD63B95">
      <w:pPr>
        <w:spacing w:line="560" w:lineRule="exact"/>
        <w:ind w:firstLine="640" w:firstLineChars="200"/>
        <w:rPr>
          <w:rFonts w:ascii="仿宋" w:hAnsi="仿宋" w:eastAsia="仿宋"/>
          <w:sz w:val="32"/>
          <w:szCs w:val="32"/>
        </w:rPr>
      </w:pPr>
      <w:r>
        <w:rPr>
          <w:rFonts w:hint="eastAsia" w:ascii="仿宋" w:hAnsi="仿宋" w:eastAsia="仿宋"/>
          <w:sz w:val="32"/>
          <w:szCs w:val="32"/>
        </w:rPr>
        <w:t>第六十三条  中国篮协将根据各单位和个人所受奖罚情况，建立竞赛体系大数据库，对有关信息资料记录在案，视情况予以公布。遵照《体育市场黑名单管理办法》有关规定，对累教不改、多次违规并造成不良影响者，建立有关行业黑名单，报主管单位公布。</w:t>
      </w:r>
    </w:p>
    <w:p w14:paraId="48E170BC">
      <w:pPr>
        <w:pStyle w:val="6"/>
        <w:snapToGrid w:val="0"/>
        <w:spacing w:line="560" w:lineRule="exact"/>
        <w:ind w:firstLine="640" w:firstLineChars="200"/>
        <w:rPr>
          <w:rFonts w:hAnsi="宋体"/>
          <w:sz w:val="32"/>
          <w:szCs w:val="32"/>
        </w:rPr>
      </w:pPr>
    </w:p>
    <w:p w14:paraId="19A35A2F">
      <w:pPr>
        <w:pStyle w:val="6"/>
        <w:snapToGrid w:val="0"/>
        <w:spacing w:line="560" w:lineRule="exact"/>
        <w:jc w:val="center"/>
        <w:rPr>
          <w:rFonts w:hAnsi="宋体"/>
          <w:b/>
          <w:bCs/>
          <w:sz w:val="32"/>
          <w:szCs w:val="32"/>
        </w:rPr>
      </w:pPr>
      <w:r>
        <w:rPr>
          <w:rFonts w:hint="eastAsia" w:hAnsi="宋体"/>
          <w:b/>
          <w:bCs/>
          <w:sz w:val="32"/>
          <w:szCs w:val="32"/>
        </w:rPr>
        <w:t>第九章  附则</w:t>
      </w:r>
    </w:p>
    <w:p w14:paraId="5838C3A2">
      <w:pPr>
        <w:pStyle w:val="6"/>
        <w:snapToGrid w:val="0"/>
        <w:spacing w:line="560" w:lineRule="exact"/>
        <w:ind w:firstLine="640" w:firstLineChars="200"/>
        <w:jc w:val="center"/>
        <w:rPr>
          <w:rFonts w:hAnsi="宋体"/>
          <w:bCs/>
          <w:sz w:val="32"/>
          <w:szCs w:val="32"/>
        </w:rPr>
      </w:pPr>
    </w:p>
    <w:p w14:paraId="05562275">
      <w:pPr>
        <w:pStyle w:val="11"/>
        <w:spacing w:before="0" w:beforeAutospacing="0" w:after="0" w:afterAutospacing="0" w:line="560" w:lineRule="exact"/>
        <w:ind w:firstLine="640" w:firstLineChars="200"/>
        <w:jc w:val="both"/>
        <w:rPr>
          <w:rFonts w:ascii="仿宋" w:hAnsi="仿宋" w:eastAsia="仿宋"/>
          <w:sz w:val="32"/>
          <w:szCs w:val="32"/>
        </w:rPr>
      </w:pPr>
      <w:r>
        <w:rPr>
          <w:rFonts w:hint="eastAsia" w:ascii="仿宋" w:hAnsi="仿宋" w:eastAsia="仿宋"/>
          <w:sz w:val="32"/>
          <w:szCs w:val="32"/>
        </w:rPr>
        <w:t>第六十四条  大型或重要篮球赛事活动的组委会应当建立党组织或临时党组织，开展党的活动，发挥党建对篮球赛事活动的政治引领作用。</w:t>
      </w:r>
    </w:p>
    <w:p w14:paraId="72370F4A">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第六十五条  本办法中的组委会及其相关组织机构是临时性机构，赛事活动期间履行职责，赛事活动结束后自动撤消。</w:t>
      </w:r>
    </w:p>
    <w:p w14:paraId="401CEB9D">
      <w:pPr>
        <w:tabs>
          <w:tab w:val="left" w:pos="8400"/>
          <w:tab w:val="left" w:pos="8620"/>
        </w:tabs>
        <w:spacing w:line="560" w:lineRule="exact"/>
        <w:ind w:firstLine="640" w:firstLineChars="200"/>
        <w:rPr>
          <w:rFonts w:ascii="仿宋" w:hAnsi="仿宋" w:eastAsia="仿宋" w:cs="Arial"/>
          <w:sz w:val="32"/>
          <w:szCs w:val="32"/>
        </w:rPr>
      </w:pPr>
      <w:r>
        <w:rPr>
          <w:rFonts w:hint="eastAsia" w:ascii="仿宋" w:hAnsi="仿宋" w:eastAsia="仿宋"/>
          <w:sz w:val="32"/>
          <w:szCs w:val="32"/>
        </w:rPr>
        <w:t>第六十六条  本办法和中国篮协颁发的其他各项管理办法配套施行</w:t>
      </w:r>
      <w:r>
        <w:rPr>
          <w:rFonts w:hint="eastAsia" w:ascii="仿宋" w:hAnsi="仿宋" w:eastAsia="仿宋" w:cs="Arial"/>
          <w:sz w:val="32"/>
          <w:szCs w:val="32"/>
        </w:rPr>
        <w:t>。</w:t>
      </w:r>
    </w:p>
    <w:p w14:paraId="44FCC90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第六十七条  各行业体协、单位会员、会员俱乐部、各赛事组委会可参照本办法，制定本行业、本单位篮球赛事活动管理办法或实施细则。</w:t>
      </w:r>
    </w:p>
    <w:p w14:paraId="4DC263A4">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第六十八条  本办法由中国篮协负责解释和修改。</w:t>
      </w:r>
    </w:p>
    <w:p w14:paraId="2DEA646C">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第六十九条  本办法自公布之日起执行。原《中国篮球协会竞赛管理办法暨实施细则》废止。</w:t>
      </w:r>
    </w:p>
    <w:p w14:paraId="7924CB26">
      <w:pPr>
        <w:spacing w:line="440" w:lineRule="exact"/>
        <w:ind w:right="141" w:rightChars="67"/>
        <w:rPr>
          <w:rFonts w:ascii="宋体" w:hAnsi="宋体"/>
          <w:sz w:val="30"/>
          <w:szCs w:val="30"/>
        </w:rPr>
      </w:pPr>
    </w:p>
    <w:p w14:paraId="1A11CA09">
      <w:pPr>
        <w:widowControl/>
        <w:jc w:val="left"/>
        <w:rPr>
          <w:rFonts w:ascii="仿宋" w:hAnsi="仿宋" w:eastAsia="仿宋"/>
          <w:sz w:val="30"/>
          <w:szCs w:val="30"/>
        </w:rPr>
      </w:pPr>
      <w:r>
        <w:rPr>
          <w:rFonts w:ascii="仿宋" w:hAnsi="仿宋" w:eastAsia="仿宋"/>
          <w:sz w:val="30"/>
          <w:szCs w:val="30"/>
        </w:rPr>
        <w:br w:type="page"/>
      </w:r>
    </w:p>
    <w:p w14:paraId="497EF625">
      <w:pPr>
        <w:spacing w:line="420" w:lineRule="exact"/>
        <w:ind w:right="720"/>
        <w:rPr>
          <w:rFonts w:ascii="黑体" w:hAnsi="黑体" w:eastAsia="黑体" w:cs="黑体"/>
          <w:sz w:val="32"/>
          <w:szCs w:val="32"/>
        </w:rPr>
      </w:pPr>
      <w:r>
        <w:rPr>
          <w:rFonts w:hint="eastAsia" w:ascii="黑体" w:hAnsi="黑体" w:eastAsia="黑体" w:cs="黑体"/>
          <w:sz w:val="32"/>
          <w:szCs w:val="32"/>
        </w:rPr>
        <w:t>附件1</w:t>
      </w:r>
    </w:p>
    <w:p w14:paraId="6E442391">
      <w:pPr>
        <w:widowControl/>
        <w:shd w:val="clear" w:color="auto" w:fill="FFFFFF"/>
        <w:spacing w:line="560" w:lineRule="exact"/>
        <w:jc w:val="center"/>
        <w:outlineLvl w:val="0"/>
        <w:rPr>
          <w:rFonts w:ascii="宋体" w:hAnsi="宋体" w:eastAsia="宋体" w:cs="宋体"/>
          <w:b/>
          <w:kern w:val="36"/>
          <w:sz w:val="36"/>
          <w:szCs w:val="36"/>
        </w:rPr>
      </w:pPr>
      <w:r>
        <w:rPr>
          <w:rFonts w:hint="eastAsia" w:ascii="宋体" w:hAnsi="宋体" w:eastAsia="宋体" w:cs="宋体"/>
          <w:b/>
          <w:kern w:val="36"/>
          <w:sz w:val="36"/>
          <w:szCs w:val="36"/>
        </w:rPr>
        <w:t>中国篮球协会赛事分级分类和申办细则</w:t>
      </w:r>
    </w:p>
    <w:p w14:paraId="64016E1F">
      <w:pPr>
        <w:widowControl/>
        <w:shd w:val="clear" w:color="auto" w:fill="FFFFFF"/>
        <w:spacing w:line="560" w:lineRule="exact"/>
        <w:jc w:val="center"/>
        <w:outlineLvl w:val="0"/>
        <w:rPr>
          <w:rFonts w:ascii="宋体" w:hAnsi="宋体" w:eastAsia="宋体" w:cs="宋体"/>
          <w:b/>
          <w:kern w:val="36"/>
          <w:sz w:val="32"/>
          <w:szCs w:val="32"/>
        </w:rPr>
      </w:pPr>
    </w:p>
    <w:p w14:paraId="48571EC1">
      <w:pPr>
        <w:pStyle w:val="11"/>
        <w:widowControl w:val="0"/>
        <w:numPr>
          <w:ilvl w:val="255"/>
          <w:numId w:val="0"/>
        </w:numPr>
        <w:spacing w:before="0" w:beforeAutospacing="0" w:after="0" w:afterAutospacing="0" w:line="56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第一条  目的和依据</w:t>
      </w:r>
    </w:p>
    <w:p w14:paraId="45869F55">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为规范全国各级篮球赛事活动的行业管理和监督工作，依据《体育赛事活动管理办法》《在华举办国际体育赛事审批事项改革方案》《体育总局关于进一步加强体育赛事活动监督管理的意见》等国家体育总局颁发的有关规定,中国篮球协会（以下简称“中国篮协”）特制定本办法。</w:t>
      </w:r>
    </w:p>
    <w:p w14:paraId="0592A8C8">
      <w:pPr>
        <w:pStyle w:val="6"/>
        <w:snapToGrid w:val="0"/>
        <w:spacing w:line="560" w:lineRule="exact"/>
        <w:ind w:firstLine="643" w:firstLineChars="200"/>
        <w:rPr>
          <w:rFonts w:ascii="仿宋" w:hAnsi="仿宋" w:eastAsia="仿宋" w:cs="仿宋"/>
          <w:bCs/>
          <w:sz w:val="32"/>
          <w:szCs w:val="32"/>
        </w:rPr>
      </w:pPr>
      <w:r>
        <w:rPr>
          <w:rFonts w:hint="eastAsia" w:ascii="仿宋" w:hAnsi="仿宋" w:eastAsia="仿宋" w:cs="仿宋"/>
          <w:b/>
          <w:sz w:val="32"/>
          <w:szCs w:val="32"/>
        </w:rPr>
        <w:t>第二条  国内篮球竞赛赛事分级和申报</w:t>
      </w:r>
    </w:p>
    <w:p w14:paraId="31C60FB5">
      <w:pPr>
        <w:pStyle w:val="11"/>
        <w:widowControl w:val="0"/>
        <w:spacing w:before="0" w:beforeAutospacing="0" w:after="0" w:afterAutospacing="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按照赛事主办方、比赛性质和重要程度分为</w:t>
      </w:r>
      <w:r>
        <w:rPr>
          <w:rFonts w:hint="eastAsia" w:ascii="仿宋" w:hAnsi="仿宋" w:eastAsia="仿宋"/>
          <w:color w:val="000000" w:themeColor="text1"/>
          <w:sz w:val="32"/>
          <w:szCs w:val="32"/>
          <w14:textFill>
            <w14:solidFill>
              <w14:schemeClr w14:val="tx1"/>
            </w14:solidFill>
          </w14:textFill>
        </w:rPr>
        <w:t>G、C、M、L</w:t>
      </w:r>
      <w:r>
        <w:rPr>
          <w:rFonts w:hint="eastAsia" w:ascii="仿宋" w:hAnsi="仿宋" w:eastAsia="仿宋"/>
          <w:color w:val="000000" w:themeColor="text1"/>
          <w:sz w:val="32"/>
          <w:szCs w:val="32"/>
          <w:lang w:val="en-US" w:eastAsia="zh-CN"/>
          <w14:textFill>
            <w14:solidFill>
              <w14:schemeClr w14:val="tx1"/>
            </w14:solidFill>
          </w14:textFill>
        </w:rPr>
        <w:t>四</w:t>
      </w:r>
      <w:r>
        <w:rPr>
          <w:rFonts w:hint="eastAsia" w:ascii="仿宋" w:hAnsi="仿宋" w:eastAsia="仿宋" w:cs="仿宋"/>
          <w:sz w:val="32"/>
          <w:szCs w:val="32"/>
        </w:rPr>
        <w:t>类。</w:t>
      </w:r>
    </w:p>
    <w:p w14:paraId="27DF32C8">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G类：各级政府及职能部门所组织的综合性运动会中的篮球比赛或篮球赛事活动,包括:</w:t>
      </w:r>
    </w:p>
    <w:p w14:paraId="30D2C491">
      <w:pPr>
        <w:pStyle w:val="19"/>
        <w:tabs>
          <w:tab w:val="left" w:pos="1985"/>
        </w:tabs>
        <w:ind w:firstLine="640"/>
        <w:rPr>
          <w:rFonts w:hint="eastAsia" w:ascii="仿宋" w:hAnsi="仿宋" w:eastAsia="仿宋" w:cs="仿宋"/>
          <w:sz w:val="32"/>
          <w:szCs w:val="32"/>
        </w:rPr>
      </w:pPr>
      <w:r>
        <w:rPr>
          <w:rFonts w:hint="eastAsia" w:ascii="仿宋" w:hAnsi="仿宋" w:eastAsia="仿宋"/>
          <w:color w:val="000000" w:themeColor="text1"/>
          <w:sz w:val="32"/>
          <w:szCs w:val="32"/>
          <w14:textFill>
            <w14:solidFill>
              <w14:schemeClr w14:val="tx1"/>
            </w14:solidFill>
          </w14:textFill>
        </w:rPr>
        <w:t>全国运动会、全国青年运动会、</w:t>
      </w:r>
      <w:r>
        <w:rPr>
          <w:rFonts w:hint="eastAsia" w:ascii="仿宋" w:hAnsi="仿宋" w:eastAsia="仿宋"/>
          <w:color w:val="000000" w:themeColor="text1"/>
          <w:sz w:val="32"/>
          <w:szCs w:val="32"/>
          <w:lang w:val="en-US" w:eastAsia="zh-CN"/>
          <w14:textFill>
            <w14:solidFill>
              <w14:schemeClr w14:val="tx1"/>
            </w14:solidFill>
          </w14:textFill>
        </w:rPr>
        <w:t>全国青少年三大球运动会、</w:t>
      </w:r>
      <w:r>
        <w:rPr>
          <w:rFonts w:hint="eastAsia" w:ascii="仿宋" w:hAnsi="仿宋" w:eastAsia="仿宋"/>
          <w:color w:val="000000" w:themeColor="text1"/>
          <w:sz w:val="32"/>
          <w:szCs w:val="32"/>
          <w14:textFill>
            <w14:solidFill>
              <w14:schemeClr w14:val="tx1"/>
            </w14:solidFill>
          </w14:textFill>
        </w:rPr>
        <w:t>中央国家机关有关部门或行业主办的全国综合性运动会(如农运会、民运会)等篮球比赛或篮球赛事活动。</w:t>
      </w:r>
      <w:r>
        <w:rPr>
          <w:rFonts w:hint="eastAsia" w:ascii="仿宋" w:hAnsi="仿宋" w:eastAsia="仿宋" w:cs="仿宋"/>
          <w:sz w:val="32"/>
          <w:szCs w:val="32"/>
        </w:rPr>
        <w:t>运动会主办方举办，中国篮协协办，按照国家体育总局现行的审批程序执行。</w:t>
      </w:r>
    </w:p>
    <w:p w14:paraId="2D523C28">
      <w:pPr>
        <w:pStyle w:val="11"/>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G类</w:t>
      </w:r>
      <w:r>
        <w:rPr>
          <w:rFonts w:hint="eastAsia" w:ascii="仿宋" w:hAnsi="仿宋" w:eastAsia="仿宋" w:cs="仿宋"/>
          <w:sz w:val="32"/>
          <w:szCs w:val="32"/>
        </w:rPr>
        <w:t>国内比赛由运动会主办方举办，中国篮协协办，按照国家体育总局现行的审批程序执行。</w:t>
      </w:r>
    </w:p>
    <w:p w14:paraId="5EDE738E">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C类：指由中国篮协主办的全国性篮球赛事,含国家体育总局发布的《全国性单项体育协会竞技体育重要赛事名录》,包括但不限于:</w:t>
      </w:r>
    </w:p>
    <w:p w14:paraId="25B099F4">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1.全国篮球联赛 (CBA、WCBA、NBL);</w:t>
      </w:r>
    </w:p>
    <w:p w14:paraId="132B121E">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2.全国篮球联赛的资格赛、预赛、附加赛;</w:t>
      </w:r>
    </w:p>
    <w:p w14:paraId="13158D55">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3.全国篮球青年联赛、篮球俱乐部青年锦标赛;</w:t>
      </w:r>
    </w:p>
    <w:p w14:paraId="09B124DF">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4.全国篮球各年龄段 (U 系列)青少年比赛;</w:t>
      </w:r>
    </w:p>
    <w:p w14:paraId="7AADC72E">
      <w:pPr>
        <w:pStyle w:val="19"/>
        <w:tabs>
          <w:tab w:val="left" w:pos="1985"/>
        </w:tabs>
        <w:ind w:firstLine="64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5.中国篮协举办的其他比赛。</w:t>
      </w:r>
    </w:p>
    <w:p w14:paraId="1334CF61">
      <w:pPr>
        <w:pStyle w:val="11"/>
        <w:spacing w:line="56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s="仿宋"/>
          <w:sz w:val="32"/>
          <w:szCs w:val="32"/>
          <w:lang w:val="en-US" w:eastAsia="zh-CN"/>
        </w:rPr>
        <w:t>C类</w:t>
      </w:r>
      <w:r>
        <w:rPr>
          <w:rFonts w:hint="eastAsia" w:ascii="仿宋" w:hAnsi="仿宋" w:eastAsia="仿宋" w:cs="仿宋"/>
          <w:sz w:val="32"/>
          <w:szCs w:val="32"/>
        </w:rPr>
        <w:t>国内比赛按照国家体育总局和中国篮协现行管理程序执行。各承办单位需与中国篮协或其授权机构签署合作协议（XX赛事承办协议书），协商确定赛事的举办时间、地点、经费，明确责任、权利和义务。</w:t>
      </w:r>
    </w:p>
    <w:p w14:paraId="557F7CBB">
      <w:pPr>
        <w:pStyle w:val="19"/>
        <w:tabs>
          <w:tab w:val="left" w:pos="1985"/>
        </w:tabs>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M类：指由加入中国篮协的各省级协会</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会员单位</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主办的篮球赛事。</w:t>
      </w:r>
    </w:p>
    <w:p w14:paraId="593ACBC9">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olor w:val="000000" w:themeColor="text1"/>
          <w:sz w:val="32"/>
          <w:szCs w:val="32"/>
          <w14:textFill>
            <w14:solidFill>
              <w14:schemeClr w14:val="tx1"/>
            </w14:solidFill>
          </w14:textFill>
        </w:rPr>
        <w:t>L类：指由各级各类合法的法律主体</w:t>
      </w:r>
      <w:r>
        <w:rPr>
          <w:rFonts w:hint="eastAsia" w:ascii="仿宋" w:hAnsi="仿宋" w:eastAsia="仿宋"/>
          <w:color w:val="000000" w:themeColor="text1"/>
          <w:sz w:val="32"/>
          <w:szCs w:val="32"/>
          <w:lang w:val="en-US" w:eastAsia="zh-CN"/>
          <w14:textFill>
            <w14:solidFill>
              <w14:schemeClr w14:val="tx1"/>
            </w14:solidFill>
          </w14:textFill>
        </w:rPr>
        <w:t>依法</w:t>
      </w:r>
      <w:r>
        <w:rPr>
          <w:rFonts w:hint="eastAsia" w:ascii="仿宋" w:hAnsi="仿宋" w:eastAsia="仿宋"/>
          <w:color w:val="000000" w:themeColor="text1"/>
          <w:sz w:val="32"/>
          <w:szCs w:val="32"/>
          <w14:textFill>
            <w14:solidFill>
              <w14:schemeClr w14:val="tx1"/>
            </w14:solidFill>
          </w14:textFill>
        </w:rPr>
        <w:t>组织举办</w:t>
      </w:r>
      <w:r>
        <w:rPr>
          <w:rFonts w:hint="eastAsia" w:ascii="仿宋" w:hAnsi="仿宋" w:eastAsia="仿宋" w:cs="仿宋"/>
          <w:sz w:val="32"/>
          <w:szCs w:val="32"/>
        </w:rPr>
        <w:t>的商业性、群众性或公益性篮球赛事。此类赛事组织单位可自行确定举办时间、地点和参赛队伍等，依据“谁举办、谁负责”的原则，无须报经中国篮协审批，按属地管理原则进行监管。中国篮协将应举办方要求从技术、专业人员、规则等方面提供指导和服务。</w:t>
      </w:r>
    </w:p>
    <w:p w14:paraId="63392F55">
      <w:pPr>
        <w:pStyle w:val="11"/>
        <w:widowControl w:val="0"/>
        <w:spacing w:before="0" w:beforeAutospacing="0" w:after="0" w:afterAutospacing="0"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第三条  国际赛事分类和申报</w:t>
      </w:r>
    </w:p>
    <w:p w14:paraId="0CC2055D">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在华举办的国际篮球赛事（简称“国际赛事”），按照赛事主办方、比赛性质和重要程度，分为A、B、C、D类。</w:t>
      </w:r>
    </w:p>
    <w:p w14:paraId="7BC86098">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A类国际赛事：</w:t>
      </w:r>
    </w:p>
    <w:p w14:paraId="1D947EEA">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指列入国家体育总局年度计划内的，由国际奥委会、国际篮联等国际体育组织主办的国际篮球赛事（含资格赛、预选赛和附加赛）。</w:t>
      </w:r>
    </w:p>
    <w:p w14:paraId="0F366FA7">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A类国际比赛须按国际组织要求，由省级体育局来函申报，列入体育总局年度外事活动计划，中国篮协报国家体育总局或国务院审批，并向当地组委会下发接待通知。相关外事手续原则上由组委会办理。</w:t>
      </w:r>
    </w:p>
    <w:p w14:paraId="12DE65BC">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B类国际赛事：</w:t>
      </w:r>
    </w:p>
    <w:p w14:paraId="018B2A79">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指由中国篮协主导，与地方共同主办或交由地方举办的国际篮球赛事。列入体育总局外事计划。</w:t>
      </w:r>
    </w:p>
    <w:p w14:paraId="1FB97B95">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C类国际赛事：</w:t>
      </w:r>
    </w:p>
    <w:p w14:paraId="0A92AECD">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指由地方主导，与中国篮协共同主办或交由地方举办的国际篮球赛事。不列入体育总局外事计划。</w:t>
      </w:r>
    </w:p>
    <w:p w14:paraId="3FFB862E">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B和C类赛事具</w:t>
      </w:r>
      <w:r>
        <w:fldChar w:fldCharType="begin"/>
      </w:r>
      <w:r>
        <w:instrText xml:space="preserve"> HYPERLINK "http://sports.people.com.cn/london2012/GB/244629/244682/index.html" </w:instrText>
      </w:r>
      <w:r>
        <w:fldChar w:fldCharType="separate"/>
      </w:r>
      <w:r>
        <w:rPr>
          <w:rFonts w:hint="eastAsia" w:ascii="仿宋" w:hAnsi="仿宋" w:eastAsia="仿宋" w:cs="仿宋"/>
          <w:sz w:val="32"/>
          <w:szCs w:val="32"/>
        </w:rPr>
        <w:t>体操</w:t>
      </w:r>
      <w:r>
        <w:rPr>
          <w:rFonts w:hint="eastAsia" w:ascii="仿宋" w:hAnsi="仿宋" w:eastAsia="仿宋" w:cs="仿宋"/>
          <w:sz w:val="32"/>
          <w:szCs w:val="32"/>
        </w:rPr>
        <w:fldChar w:fldCharType="end"/>
      </w:r>
      <w:r>
        <w:rPr>
          <w:rFonts w:hint="eastAsia" w:ascii="仿宋" w:hAnsi="仿宋" w:eastAsia="仿宋" w:cs="仿宋"/>
          <w:sz w:val="32"/>
          <w:szCs w:val="32"/>
        </w:rPr>
        <w:t>作程序是：由组织承办所在地市体育主管部门或省级篮协，至少提前两个月向中国篮协提出书面申请，由中国篮协按照内部管理制度和程序履行内部审核手续，出具相关意见函。并需报所在地方政府部门批准或备案。参加B或C类赛事的来华相关外事手续由地方或赛事组织者办理。</w:t>
      </w:r>
    </w:p>
    <w:p w14:paraId="3FADEE41">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如果来华的外国球队是国家队，则需由组织方提供国外篮协的相关确认函（传真或邮件）。</w:t>
      </w:r>
    </w:p>
    <w:p w14:paraId="2C6DFBE6">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上述三类向中国篮协提出书面函，应简要包括下列内容：</w:t>
      </w:r>
    </w:p>
    <w:p w14:paraId="005C7B79">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1.办赛宗旨和理由；</w:t>
      </w:r>
    </w:p>
    <w:p w14:paraId="7FE60598">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2.拟举办比赛的名称、时间、地点和参赛队；</w:t>
      </w:r>
    </w:p>
    <w:p w14:paraId="2DB03175">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3.拟定的主办单位和承办单位；</w:t>
      </w:r>
    </w:p>
    <w:p w14:paraId="4B41CBB2">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4.比赛场馆和办赛经验；</w:t>
      </w:r>
    </w:p>
    <w:p w14:paraId="22BCE774">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5.经费来源及收费情况说明。</w:t>
      </w:r>
    </w:p>
    <w:p w14:paraId="5C723424">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D类国际赛事：</w:t>
      </w:r>
    </w:p>
    <w:p w14:paraId="7A45C418">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指由地方合法的单位或申办人，依法组织和自行举办的商业性、群众性国际篮球赛事。不列入体育总局和中国篮协的年度外事活动计划。由赛事举办方按照“属地管理”原则，根据地方有关规定，自行办理相关手续。</w:t>
      </w:r>
    </w:p>
    <w:p w14:paraId="25CDE58A">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上述国际赛事如参赛队有CBA球队等中国篮协注册球队的，则由赛事组织者，向中国篮协或其授权管理机构备案。</w:t>
      </w:r>
    </w:p>
    <w:p w14:paraId="490594C3">
      <w:pPr>
        <w:pStyle w:val="11"/>
        <w:widowControl w:val="0"/>
        <w:numPr>
          <w:ilvl w:val="255"/>
          <w:numId w:val="0"/>
        </w:numPr>
        <w:spacing w:before="0" w:beforeAutospacing="0" w:after="0" w:afterAutospacing="0" w:line="560" w:lineRule="exact"/>
        <w:ind w:firstLine="643" w:firstLineChars="200"/>
        <w:rPr>
          <w:rFonts w:ascii="仿宋" w:hAnsi="仿宋" w:eastAsia="仿宋" w:cs="仿宋"/>
          <w:sz w:val="32"/>
          <w:szCs w:val="32"/>
        </w:rPr>
      </w:pPr>
      <w:r>
        <w:rPr>
          <w:rFonts w:hint="eastAsia" w:ascii="仿宋" w:hAnsi="仿宋" w:eastAsia="仿宋" w:cs="仿宋"/>
          <w:b/>
          <w:bCs/>
          <w:sz w:val="32"/>
          <w:szCs w:val="32"/>
        </w:rPr>
        <w:t>第四条  技术服务和监管</w:t>
      </w:r>
      <w:r>
        <w:rPr>
          <w:rFonts w:hint="eastAsia" w:ascii="仿宋" w:hAnsi="仿宋" w:eastAsia="仿宋" w:cs="仿宋"/>
          <w:sz w:val="32"/>
          <w:szCs w:val="32"/>
        </w:rPr>
        <w:t xml:space="preserve"> </w:t>
      </w:r>
    </w:p>
    <w:p w14:paraId="7288860F">
      <w:pPr>
        <w:pStyle w:val="11"/>
        <w:widowControl w:val="0"/>
        <w:numPr>
          <w:ilvl w:val="255"/>
          <w:numId w:val="0"/>
        </w:numPr>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（一）中国篮协拟定赛事活动组织的行业规范，详见《中国篮球协会竞赛指南》、《中国篮球协会赛事活动安全工作规定》等，支持各类市场主体依法依规组织和举办篮球赛事。</w:t>
      </w:r>
    </w:p>
    <w:p w14:paraId="126E932C">
      <w:pPr>
        <w:pStyle w:val="11"/>
        <w:widowControl w:val="0"/>
        <w:numPr>
          <w:ilvl w:val="255"/>
          <w:numId w:val="0"/>
        </w:numPr>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（二）各赛事主管单位应按照分类审批的原则和有关规定认真审核、审批国际体育赛事。规范本地区或本行业的赛事管理工作，加强对赛事的事前、事中和事后的监管。</w:t>
      </w:r>
    </w:p>
    <w:p w14:paraId="4B3A823E">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（三）各类篮球赛事均可由主办单位、承办单位、推广单位和参赛单位等协商、合作进行赛事开发，签订合同，筹措赛事经费（包括向各级政府和社团企业等筹措赛事经费），维护赛事各方的合法权益。</w:t>
      </w:r>
    </w:p>
    <w:p w14:paraId="1EADD4BF">
      <w:pPr>
        <w:pStyle w:val="11"/>
        <w:widowControl w:val="0"/>
        <w:spacing w:before="0" w:beforeAutospacing="0" w:after="0" w:afterAutospacing="0" w:line="56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凡组织国际、国内邀请赛不按规定向相关体育管理部门报批或备案者，中国篮协不予支持。对赛事组织和竞赛工作出现问题并引发社会恶劣影响的，将根据《中国篮球协会纪律准则和处罚规定》的有关规定对赛事组织者、参赛队和裁判员进行处罚。</w:t>
      </w:r>
    </w:p>
    <w:p w14:paraId="37148700">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18076AF0">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4172267B">
      <w:pPr>
        <w:pStyle w:val="11"/>
        <w:widowControl w:val="0"/>
        <w:spacing w:before="0" w:beforeAutospacing="0" w:after="0" w:afterAutospacing="0" w:line="560" w:lineRule="exact"/>
        <w:ind w:firstLine="640" w:firstLineChars="200"/>
        <w:jc w:val="both"/>
        <w:rPr>
          <w:rFonts w:ascii="仿宋" w:hAnsi="仿宋" w:eastAsia="仿宋" w:cs="仿宋"/>
          <w:sz w:val="32"/>
          <w:szCs w:val="32"/>
        </w:rPr>
        <w:sectPr>
          <w:footerReference r:id="rId3" w:type="default"/>
          <w:pgSz w:w="11906" w:h="16838"/>
          <w:pgMar w:top="1701" w:right="1474" w:bottom="1134" w:left="1474" w:header="851" w:footer="992" w:gutter="0"/>
          <w:cols w:space="425" w:num="1"/>
          <w:docGrid w:type="lines" w:linePitch="312" w:charSpace="0"/>
        </w:sectPr>
      </w:pPr>
    </w:p>
    <w:p w14:paraId="7B1094CB">
      <w:pPr>
        <w:tabs>
          <w:tab w:val="left" w:pos="420"/>
        </w:tabs>
        <w:spacing w:line="560" w:lineRule="exact"/>
        <w:rPr>
          <w:rFonts w:ascii="黑体" w:hAnsi="黑体" w:eastAsia="黑体" w:cs="黑体"/>
          <w:bCs/>
          <w:sz w:val="32"/>
          <w:szCs w:val="32"/>
        </w:rPr>
      </w:pPr>
      <w:r>
        <w:rPr>
          <w:rFonts w:hint="eastAsia" w:ascii="黑体" w:hAnsi="黑体" w:eastAsia="黑体" w:cs="黑体"/>
          <w:bCs/>
          <w:sz w:val="32"/>
          <w:szCs w:val="32"/>
        </w:rPr>
        <w:t>附件2</w:t>
      </w:r>
    </w:p>
    <w:p w14:paraId="7AA299E7">
      <w:pPr>
        <w:tabs>
          <w:tab w:val="left" w:pos="420"/>
        </w:tabs>
        <w:spacing w:line="560" w:lineRule="exact"/>
        <w:jc w:val="center"/>
        <w:rPr>
          <w:rFonts w:ascii="宋体" w:hAnsi="宋体" w:eastAsia="宋体"/>
          <w:b/>
          <w:sz w:val="36"/>
          <w:szCs w:val="36"/>
        </w:rPr>
      </w:pPr>
      <w:r>
        <w:rPr>
          <w:rFonts w:hint="eastAsia" w:ascii="宋体" w:hAnsi="宋体" w:eastAsia="宋体"/>
          <w:b/>
          <w:sz w:val="36"/>
          <w:szCs w:val="36"/>
        </w:rPr>
        <w:t>中国篮球协会体育道德风尚奖评选办法</w:t>
      </w:r>
    </w:p>
    <w:p w14:paraId="05E20B60">
      <w:pPr>
        <w:spacing w:line="560" w:lineRule="exact"/>
        <w:ind w:firstLine="600" w:firstLineChars="200"/>
        <w:jc w:val="left"/>
        <w:rPr>
          <w:rFonts w:ascii="宋体" w:hAnsi="宋体" w:eastAsia="宋体"/>
          <w:sz w:val="30"/>
          <w:szCs w:val="30"/>
        </w:rPr>
      </w:pPr>
    </w:p>
    <w:p w14:paraId="322DBD66">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根据《XX竞赛规程》和中国篮协有关规定，制定本办法。</w:t>
      </w:r>
    </w:p>
    <w:p w14:paraId="6B5A3872">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一、评选范围</w:t>
      </w:r>
    </w:p>
    <w:p w14:paraId="248E294A">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参加XX篮球赛的各篮球队、运动员和裁判员。</w:t>
      </w:r>
    </w:p>
    <w:p w14:paraId="2A666ACF">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二、评选条件</w:t>
      </w:r>
    </w:p>
    <w:p w14:paraId="192EA524">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（一）严格遵守执行《XX篮球竞赛规程》、《中国篮球协会赛事活动管理办法暨实施细则》及《XX承诺书》和其他有关管理规定。</w:t>
      </w:r>
    </w:p>
    <w:p w14:paraId="755BD39F">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（二）树立正确的参赛观、胜负观，自觉遵守公正竞赛、公平竞争的原则，主动加强对本运动队、运动员、教练员以及工作人员的教育和管理，严格执行组委会会做出的决议或决定。</w:t>
      </w:r>
    </w:p>
    <w:p w14:paraId="5A6F6328">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（三）体育道德风尚奖运动队：需为比赛成绩优秀，原则上本次比赛名列前四的球队或成绩进步明显的球队，在比赛中表现良好的体育道德和职业风尚，遵章守纪，没有被主办单位处罚。</w:t>
      </w:r>
    </w:p>
    <w:p w14:paraId="41654A78">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（四）体育道德风尚奖运动员：能够认真遵守赛场要求与纪律，尊重对手、尊重裁判、尊重观众，在比赛中积极进取，顽强拼博，胜不骄，败不馁，表现出良好的体育精神和道德风尚。</w:t>
      </w:r>
    </w:p>
    <w:p w14:paraId="37313275">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（五）体育道德风尚奖裁判员：能够认真遵守赛区的各项要求与规定，执行裁判工作时能够做到严肃、认真、公正、准确，不徇私舞弊，不搞不正之风。</w:t>
      </w:r>
    </w:p>
    <w:p w14:paraId="23AF4506">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三、评选办法</w:t>
      </w:r>
    </w:p>
    <w:p w14:paraId="7F6ED3D3">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运动队、运动员和裁判员的奖项评选工作由各赛区组委会负责。赛前联席会向各参赛队发放《体育道德风尚奖评选表》，在倒数第二个竞赛日上午举行的领队会议上，统计、汇总并讨论通过体育道德风尚奖的评选结果。</w:t>
      </w:r>
    </w:p>
    <w:p w14:paraId="2CFFA4E0">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组委会应结合宣传教育工作，设立专门的评选工作组，各参赛队、裁判团队可根据实际情况推选具备条件的运动队、运动员和裁判员，经评选组汇总审核后报组委会领队会议审定。</w:t>
      </w:r>
    </w:p>
    <w:p w14:paraId="202C8AD1">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组委会有权依据实际情况对最后的结果进行审定调整。</w:t>
      </w:r>
    </w:p>
    <w:p w14:paraId="6B9CC977">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四、评选名额</w:t>
      </w:r>
    </w:p>
    <w:p w14:paraId="7A991AD1">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每赛事各赛区设“体育道德风尚奖”运动队1支、运动员每队1名、裁判员2名，辅助裁判员1名。</w:t>
      </w:r>
    </w:p>
    <w:p w14:paraId="5CCA1E68">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各赛区应对“得分、三分、篮板、助攻、抢断、扣篮、封盖”等单项技术数据进行统计并评选各“技术统计单项奖”若干。</w:t>
      </w:r>
    </w:p>
    <w:p w14:paraId="5EDE26C5">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五、奖励办法</w:t>
      </w:r>
    </w:p>
    <w:p w14:paraId="37CB4630">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（一）各赛区组委会应在成绩册中公布获得体育道德风尚奖的运动队、运动员和裁判员名单，并授予获奖证书；</w:t>
      </w:r>
    </w:p>
    <w:p w14:paraId="00DD4399">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（二）各赛区根据技术统计汇总，对“得分、三分、篮板、助攻、抢断、扣篮、封盖”等获得第一名的运动员，分别给予奖励，提供奖杯或奖品、证书。</w:t>
      </w:r>
    </w:p>
    <w:p w14:paraId="257C0788">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（三）中国篮协对部分比赛获得“体育道德风尚奖”运动队、运动员和裁判员提供特别指定奖品或奖牌、证书。</w:t>
      </w:r>
    </w:p>
    <w:p w14:paraId="6E19661F">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六、评选活动注意事项</w:t>
      </w:r>
    </w:p>
    <w:p w14:paraId="2D5DFC0F">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（一）各赛区组委会在评选工作中要加强对体育精神</w:t>
      </w:r>
      <w:r>
        <w:rPr>
          <w:rFonts w:hint="eastAsia" w:ascii="仿宋" w:hAnsi="仿宋" w:eastAsia="仿宋" w:cs="Arial"/>
          <w:sz w:val="32"/>
          <w:szCs w:val="32"/>
          <w:lang w:val="en-US" w:eastAsia="zh-CN"/>
        </w:rPr>
        <w:t>和篮球规范</w:t>
      </w:r>
      <w:r>
        <w:rPr>
          <w:rFonts w:hint="eastAsia" w:ascii="仿宋" w:hAnsi="仿宋" w:eastAsia="仿宋" w:cs="Arial"/>
          <w:sz w:val="32"/>
          <w:szCs w:val="32"/>
        </w:rPr>
        <w:t>的宣传教育，将评选活动与赛时教育管理结合起来，防止将评选活动形式化。</w:t>
      </w:r>
    </w:p>
    <w:p w14:paraId="1BFDA4B6">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（二）评选工作要注意运动技术水平和赛场作风相结合，要有利于运动队之间、运动员之间的团结，促进体育道德水平和运动技术水平的共同提高。</w:t>
      </w:r>
    </w:p>
    <w:p w14:paraId="7269D109">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（三）评选结果应在赛事最后一天比赛结束时揭晓，不得提前或推后。</w:t>
      </w:r>
    </w:p>
    <w:p w14:paraId="55C3C49B">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（四）在比赛中出现</w:t>
      </w:r>
      <w:r>
        <w:rPr>
          <w:rFonts w:hint="eastAsia" w:ascii="仿宋" w:hAnsi="仿宋" w:eastAsia="仿宋" w:cs="Arial"/>
          <w:sz w:val="32"/>
          <w:szCs w:val="32"/>
          <w:lang w:val="en-US" w:eastAsia="zh-CN"/>
        </w:rPr>
        <w:t>各类</w:t>
      </w:r>
      <w:r>
        <w:rPr>
          <w:rFonts w:hint="eastAsia" w:ascii="仿宋" w:hAnsi="仿宋" w:eastAsia="仿宋" w:cs="Arial"/>
          <w:sz w:val="32"/>
          <w:szCs w:val="32"/>
        </w:rPr>
        <w:t>违纪违规行为</w:t>
      </w:r>
      <w:r>
        <w:rPr>
          <w:rFonts w:hint="eastAsia" w:ascii="仿宋" w:hAnsi="仿宋" w:eastAsia="仿宋" w:cs="Arial"/>
          <w:sz w:val="32"/>
          <w:szCs w:val="32"/>
          <w:lang w:val="en-US" w:eastAsia="zh-CN"/>
        </w:rPr>
        <w:t>却被公开处罚的</w:t>
      </w:r>
      <w:r>
        <w:rPr>
          <w:rFonts w:hint="eastAsia" w:ascii="仿宋" w:hAnsi="仿宋" w:eastAsia="仿宋" w:cs="Arial"/>
          <w:sz w:val="32"/>
          <w:szCs w:val="32"/>
        </w:rPr>
        <w:t>，将取消体育道德风尚奖评选资格。</w:t>
      </w:r>
    </w:p>
    <w:p w14:paraId="7BAD2674">
      <w:pPr>
        <w:pStyle w:val="11"/>
        <w:widowControl w:val="0"/>
        <w:spacing w:before="0" w:beforeAutospacing="0" w:after="0" w:afterAutospacing="0" w:line="560" w:lineRule="exact"/>
        <w:ind w:firstLine="640" w:firstLineChars="200"/>
        <w:rPr>
          <w:rFonts w:ascii="仿宋" w:hAnsi="仿宋" w:eastAsia="仿宋" w:cs="Arial"/>
          <w:sz w:val="32"/>
          <w:szCs w:val="32"/>
        </w:rPr>
      </w:pPr>
      <w:r>
        <w:rPr>
          <w:rFonts w:hint="eastAsia" w:ascii="仿宋" w:hAnsi="仿宋" w:eastAsia="仿宋" w:cs="Arial"/>
          <w:sz w:val="32"/>
          <w:szCs w:val="32"/>
        </w:rPr>
        <w:t>（五）如赛后发现使用兴奋剂、违纪违规等问题，将取消该运动员及所在队并其代表</w:t>
      </w:r>
      <w:r>
        <w:rPr>
          <w:rFonts w:hint="eastAsia" w:ascii="仿宋" w:hAnsi="仿宋" w:eastAsia="仿宋" w:cs="Arial"/>
          <w:sz w:val="32"/>
          <w:szCs w:val="32"/>
          <w:lang w:val="en-US" w:eastAsia="zh-CN"/>
        </w:rPr>
        <w:t>团（</w:t>
      </w:r>
      <w:r>
        <w:rPr>
          <w:rFonts w:hint="eastAsia" w:ascii="仿宋" w:hAnsi="仿宋" w:eastAsia="仿宋" w:cs="Arial"/>
          <w:sz w:val="32"/>
          <w:szCs w:val="32"/>
        </w:rPr>
        <w:t>队</w:t>
      </w:r>
      <w:r>
        <w:rPr>
          <w:rFonts w:hint="eastAsia" w:ascii="仿宋" w:hAnsi="仿宋" w:eastAsia="仿宋" w:cs="Arial"/>
          <w:sz w:val="32"/>
          <w:szCs w:val="32"/>
          <w:lang w:eastAsia="zh-CN"/>
        </w:rPr>
        <w:t>）</w:t>
      </w:r>
      <w:r>
        <w:rPr>
          <w:rFonts w:hint="eastAsia" w:ascii="仿宋" w:hAnsi="仿宋" w:eastAsia="仿宋" w:cs="Arial"/>
          <w:sz w:val="32"/>
          <w:szCs w:val="32"/>
        </w:rPr>
        <w:t>体育道德风尚奖奖项。</w:t>
      </w:r>
    </w:p>
    <w:p w14:paraId="30FEF695">
      <w:pPr>
        <w:jc w:val="left"/>
        <w:rPr>
          <w:rFonts w:ascii="华文中宋" w:hAnsi="华文中宋" w:eastAsia="华文中宋" w:cstheme="majorEastAsia"/>
          <w:b/>
          <w:sz w:val="36"/>
          <w:szCs w:val="32"/>
        </w:rPr>
      </w:pPr>
    </w:p>
    <w:p w14:paraId="7B0ADF58">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4E45AB15">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200604A0">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607A9544">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0F081C27">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703CD0F9">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02D96A23">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2A930DEB">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08742AE9">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4FEF348E">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4773F433">
      <w:pPr>
        <w:adjustRightInd w:val="0"/>
      </w:pPr>
    </w:p>
    <w:p w14:paraId="0F01EEFA">
      <w:pPr>
        <w:pStyle w:val="11"/>
        <w:widowControl w:val="0"/>
        <w:spacing w:before="0" w:beforeAutospacing="0" w:after="0" w:afterAutospacing="0" w:line="560" w:lineRule="exact"/>
        <w:ind w:firstLine="640" w:firstLineChars="200"/>
        <w:jc w:val="both"/>
        <w:rPr>
          <w:rFonts w:ascii="仿宋" w:hAnsi="仿宋" w:eastAsia="仿宋" w:cs="仿宋"/>
          <w:sz w:val="32"/>
          <w:szCs w:val="32"/>
        </w:rPr>
      </w:pPr>
    </w:p>
    <w:p w14:paraId="64552B92">
      <w:pPr>
        <w:spacing w:line="440" w:lineRule="exact"/>
        <w:ind w:firstLine="755" w:firstLineChars="236"/>
        <w:rPr>
          <w:rFonts w:ascii="仿宋" w:hAnsi="仿宋" w:eastAsia="仿宋" w:cs="仿宋"/>
          <w:sz w:val="32"/>
          <w:szCs w:val="32"/>
        </w:rPr>
      </w:pPr>
      <w:r>
        <w:rPr>
          <w:rFonts w:hint="eastAsia" w:ascii="仿宋" w:hAnsi="仿宋" w:eastAsia="仿宋" w:cs="仿宋"/>
          <w:sz w:val="32"/>
          <w:szCs w:val="32"/>
        </w:rPr>
        <w:br w:type="page"/>
      </w:r>
    </w:p>
    <w:p w14:paraId="4FE93717">
      <w:pPr>
        <w:autoSpaceDE w:val="0"/>
        <w:autoSpaceDN w:val="0"/>
        <w:jc w:val="left"/>
        <w:rPr>
          <w:rFonts w:asciiTheme="minorEastAsia" w:hAnsiTheme="minorEastAsia" w:cstheme="majorEastAsia"/>
          <w:sz w:val="28"/>
          <w:szCs w:val="36"/>
        </w:rPr>
      </w:pPr>
      <w:r>
        <w:rPr>
          <w:rFonts w:hint="eastAsia" w:asciiTheme="minorEastAsia" w:hAnsiTheme="minorEastAsia" w:cstheme="majorEastAsia"/>
          <w:sz w:val="28"/>
          <w:szCs w:val="36"/>
        </w:rPr>
        <w:t>附件3</w:t>
      </w:r>
    </w:p>
    <w:p w14:paraId="6A04E554">
      <w:pPr>
        <w:autoSpaceDE w:val="0"/>
        <w:autoSpaceDN w:val="0"/>
        <w:jc w:val="center"/>
        <w:rPr>
          <w:rFonts w:cs="Times New Roman" w:asciiTheme="minorEastAsia" w:hAnsiTheme="minorEastAsia"/>
          <w:b/>
          <w:kern w:val="0"/>
          <w:sz w:val="48"/>
          <w:szCs w:val="48"/>
          <w:lang w:val="zh-CN" w:bidi="zh-CN"/>
        </w:rPr>
      </w:pPr>
      <w:r>
        <w:rPr>
          <w:rFonts w:hint="eastAsia" w:asciiTheme="minorEastAsia" w:hAnsiTheme="minorEastAsia" w:cstheme="majorEastAsia"/>
          <w:b/>
          <w:sz w:val="36"/>
          <w:szCs w:val="36"/>
        </w:rPr>
        <w:t>XX  篮球 赛 代表资格协议证明书</w:t>
      </w:r>
    </w:p>
    <w:tbl>
      <w:tblPr>
        <w:tblStyle w:val="13"/>
        <w:tblpPr w:leftFromText="180" w:rightFromText="180" w:vertAnchor="text" w:horzAnchor="page" w:tblpX="1605" w:tblpY="149"/>
        <w:tblOverlap w:val="never"/>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1050"/>
        <w:gridCol w:w="1393"/>
        <w:gridCol w:w="287"/>
        <w:gridCol w:w="2100"/>
        <w:gridCol w:w="2172"/>
      </w:tblGrid>
      <w:tr w14:paraId="355C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7" w:hRule="atLeast"/>
        </w:trPr>
        <w:tc>
          <w:tcPr>
            <w:tcW w:w="6753" w:type="dxa"/>
            <w:gridSpan w:val="5"/>
            <w:vAlign w:val="center"/>
          </w:tcPr>
          <w:p w14:paraId="63277E58">
            <w:pPr>
              <w:autoSpaceDE w:val="0"/>
              <w:autoSpaceDN w:val="0"/>
              <w:jc w:val="left"/>
              <w:rPr>
                <w:rFonts w:cs="宋体" w:asciiTheme="minorEastAsia" w:hAnsiTheme="minorEastAsia"/>
                <w:kern w:val="0"/>
                <w:sz w:val="28"/>
                <w:szCs w:val="28"/>
                <w:lang w:bidi="zh-CN"/>
              </w:rPr>
            </w:pPr>
            <w:r>
              <w:rPr>
                <w:rFonts w:hint="eastAsia" w:cs="宋体" w:asciiTheme="minorEastAsia" w:hAnsiTheme="minorEastAsia"/>
                <w:kern w:val="0"/>
                <w:sz w:val="28"/>
                <w:szCs w:val="28"/>
                <w:lang w:bidi="zh-CN"/>
              </w:rPr>
              <w:t>队名：</w:t>
            </w:r>
          </w:p>
        </w:tc>
        <w:tc>
          <w:tcPr>
            <w:tcW w:w="2172" w:type="dxa"/>
            <w:vMerge w:val="restart"/>
            <w:vAlign w:val="center"/>
          </w:tcPr>
          <w:p w14:paraId="3E3C19FD">
            <w:pPr>
              <w:autoSpaceDE w:val="0"/>
              <w:autoSpaceDN w:val="0"/>
              <w:spacing w:line="480" w:lineRule="auto"/>
              <w:jc w:val="center"/>
              <w:rPr>
                <w:rFonts w:cs="宋体" w:asciiTheme="minorEastAsia" w:hAnsiTheme="minorEastAsia"/>
                <w:kern w:val="0"/>
                <w:sz w:val="24"/>
                <w:szCs w:val="24"/>
                <w:lang w:val="zh-CN" w:bidi="zh-CN"/>
              </w:rPr>
            </w:pPr>
            <w:r>
              <w:rPr>
                <w:rFonts w:hint="eastAsia" w:cs="宋体" w:asciiTheme="minorEastAsia" w:hAnsiTheme="minorEastAsia"/>
                <w:kern w:val="0"/>
                <w:sz w:val="24"/>
                <w:szCs w:val="24"/>
                <w:lang w:bidi="zh-CN"/>
              </w:rPr>
              <w:t>球</w:t>
            </w:r>
            <w:r>
              <w:rPr>
                <w:rFonts w:hint="eastAsia" w:cs="宋体" w:asciiTheme="minorEastAsia" w:hAnsiTheme="minorEastAsia"/>
                <w:kern w:val="0"/>
                <w:sz w:val="24"/>
                <w:szCs w:val="24"/>
                <w:lang w:val="zh-CN" w:bidi="zh-CN"/>
              </w:rPr>
              <w:t>员近期二寸</w:t>
            </w:r>
          </w:p>
          <w:p w14:paraId="7280B191">
            <w:pPr>
              <w:autoSpaceDE w:val="0"/>
              <w:autoSpaceDN w:val="0"/>
              <w:spacing w:line="480" w:lineRule="auto"/>
              <w:jc w:val="center"/>
              <w:rPr>
                <w:rFonts w:cs="宋体" w:asciiTheme="minorEastAsia" w:hAnsiTheme="minorEastAsia"/>
                <w:kern w:val="0"/>
                <w:sz w:val="24"/>
                <w:szCs w:val="24"/>
                <w:lang w:val="zh-CN" w:bidi="zh-CN"/>
              </w:rPr>
            </w:pPr>
            <w:r>
              <w:rPr>
                <w:rFonts w:hint="eastAsia" w:cs="宋体" w:asciiTheme="minorEastAsia" w:hAnsiTheme="minorEastAsia"/>
                <w:kern w:val="0"/>
                <w:sz w:val="24"/>
                <w:szCs w:val="24"/>
                <w:lang w:val="zh-CN" w:bidi="zh-CN"/>
              </w:rPr>
              <w:t>彩色照片</w:t>
            </w:r>
          </w:p>
        </w:tc>
      </w:tr>
      <w:tr w14:paraId="666D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trPr>
        <w:tc>
          <w:tcPr>
            <w:tcW w:w="6753" w:type="dxa"/>
            <w:gridSpan w:val="5"/>
            <w:vAlign w:val="center"/>
          </w:tcPr>
          <w:p w14:paraId="0E3E3910">
            <w:pPr>
              <w:autoSpaceDE w:val="0"/>
              <w:autoSpaceDN w:val="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球</w:t>
            </w:r>
            <w:r>
              <w:rPr>
                <w:rFonts w:hint="eastAsia" w:cs="宋体" w:asciiTheme="minorEastAsia" w:hAnsiTheme="minorEastAsia"/>
                <w:kern w:val="0"/>
                <w:sz w:val="28"/>
                <w:szCs w:val="28"/>
                <w:lang w:val="zh-CN" w:bidi="zh-CN"/>
              </w:rPr>
              <w:t xml:space="preserve">员姓名: </w:t>
            </w:r>
          </w:p>
        </w:tc>
        <w:tc>
          <w:tcPr>
            <w:tcW w:w="2172" w:type="dxa"/>
            <w:vMerge w:val="continue"/>
            <w:vAlign w:val="center"/>
          </w:tcPr>
          <w:p w14:paraId="31AA83E5">
            <w:pPr>
              <w:autoSpaceDE w:val="0"/>
              <w:autoSpaceDN w:val="0"/>
              <w:jc w:val="center"/>
              <w:rPr>
                <w:rFonts w:cs="宋体" w:asciiTheme="minorEastAsia" w:hAnsiTheme="minorEastAsia"/>
                <w:kern w:val="0"/>
                <w:sz w:val="24"/>
                <w:szCs w:val="24"/>
                <w:lang w:val="zh-CN" w:bidi="zh-CN"/>
              </w:rPr>
            </w:pPr>
          </w:p>
        </w:tc>
      </w:tr>
      <w:tr w14:paraId="30FF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rPr>
        <w:tc>
          <w:tcPr>
            <w:tcW w:w="6753" w:type="dxa"/>
            <w:gridSpan w:val="5"/>
            <w:vAlign w:val="center"/>
          </w:tcPr>
          <w:p w14:paraId="19260122">
            <w:pPr>
              <w:autoSpaceDE w:val="0"/>
              <w:autoSpaceDN w:val="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身份证号</w:t>
            </w:r>
            <w:r>
              <w:rPr>
                <w:rFonts w:hint="eastAsia" w:cs="宋体" w:asciiTheme="minorEastAsia" w:hAnsiTheme="minorEastAsia"/>
                <w:kern w:val="0"/>
                <w:sz w:val="28"/>
                <w:szCs w:val="28"/>
                <w:lang w:val="zh-CN" w:bidi="zh-CN"/>
              </w:rPr>
              <w:t xml:space="preserve">: </w:t>
            </w:r>
          </w:p>
        </w:tc>
        <w:tc>
          <w:tcPr>
            <w:tcW w:w="2172" w:type="dxa"/>
            <w:vMerge w:val="continue"/>
            <w:vAlign w:val="center"/>
          </w:tcPr>
          <w:p w14:paraId="1E4AA60B">
            <w:pPr>
              <w:autoSpaceDE w:val="0"/>
              <w:autoSpaceDN w:val="0"/>
              <w:jc w:val="center"/>
              <w:rPr>
                <w:rFonts w:cs="宋体" w:asciiTheme="minorEastAsia" w:hAnsiTheme="minorEastAsia"/>
                <w:kern w:val="0"/>
                <w:sz w:val="24"/>
                <w:szCs w:val="24"/>
                <w:lang w:val="zh-CN" w:bidi="zh-CN"/>
              </w:rPr>
            </w:pPr>
          </w:p>
        </w:tc>
      </w:tr>
      <w:tr w14:paraId="757F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trPr>
        <w:tc>
          <w:tcPr>
            <w:tcW w:w="1923" w:type="dxa"/>
            <w:vAlign w:val="center"/>
          </w:tcPr>
          <w:p w14:paraId="0991A7E1">
            <w:pPr>
              <w:autoSpaceDE w:val="0"/>
              <w:autoSpaceDN w:val="0"/>
              <w:jc w:val="center"/>
              <w:rPr>
                <w:rFonts w:cs="宋体" w:asciiTheme="minorEastAsia" w:hAnsiTheme="minorEastAsia"/>
                <w:kern w:val="0"/>
                <w:sz w:val="28"/>
                <w:szCs w:val="28"/>
                <w:lang w:val="zh-CN" w:bidi="zh-CN"/>
              </w:rPr>
            </w:pPr>
            <w:r>
              <w:rPr>
                <w:rFonts w:hint="eastAsia" w:cs="宋体" w:asciiTheme="minorEastAsia" w:hAnsiTheme="minorEastAsia"/>
                <w:kern w:val="0"/>
                <w:sz w:val="28"/>
                <w:szCs w:val="28"/>
                <w:lang w:val="zh-CN" w:bidi="zh-CN"/>
              </w:rPr>
              <w:t>性</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　别</w:t>
            </w:r>
          </w:p>
        </w:tc>
        <w:tc>
          <w:tcPr>
            <w:tcW w:w="1050" w:type="dxa"/>
            <w:vAlign w:val="center"/>
          </w:tcPr>
          <w:p w14:paraId="2793E673">
            <w:pPr>
              <w:autoSpaceDE w:val="0"/>
              <w:autoSpaceDN w:val="0"/>
              <w:jc w:val="center"/>
              <w:rPr>
                <w:rFonts w:cs="宋体" w:asciiTheme="minorEastAsia" w:hAnsiTheme="minorEastAsia"/>
                <w:kern w:val="0"/>
                <w:sz w:val="28"/>
                <w:szCs w:val="28"/>
                <w:lang w:val="zh-CN" w:bidi="zh-CN"/>
              </w:rPr>
            </w:pPr>
          </w:p>
        </w:tc>
        <w:tc>
          <w:tcPr>
            <w:tcW w:w="1680" w:type="dxa"/>
            <w:gridSpan w:val="2"/>
            <w:vAlign w:val="center"/>
          </w:tcPr>
          <w:p w14:paraId="55A9954A">
            <w:pPr>
              <w:autoSpaceDE w:val="0"/>
              <w:autoSpaceDN w:val="0"/>
              <w:jc w:val="center"/>
              <w:rPr>
                <w:rFonts w:cs="宋体" w:asciiTheme="minorEastAsia" w:hAnsiTheme="minorEastAsia"/>
                <w:kern w:val="0"/>
                <w:sz w:val="28"/>
                <w:szCs w:val="28"/>
                <w:lang w:bidi="zh-CN"/>
              </w:rPr>
            </w:pPr>
            <w:r>
              <w:rPr>
                <w:rFonts w:hint="eastAsia" w:cs="宋体" w:asciiTheme="minorEastAsia" w:hAnsiTheme="minorEastAsia"/>
                <w:kern w:val="0"/>
                <w:sz w:val="28"/>
                <w:szCs w:val="28"/>
                <w:lang w:val="zh-CN" w:bidi="zh-CN"/>
              </w:rPr>
              <w:t>出生</w:t>
            </w:r>
            <w:r>
              <w:rPr>
                <w:rFonts w:hint="eastAsia" w:cs="宋体" w:asciiTheme="minorEastAsia" w:hAnsiTheme="minorEastAsia"/>
                <w:kern w:val="0"/>
                <w:sz w:val="28"/>
                <w:szCs w:val="28"/>
                <w:lang w:bidi="zh-CN"/>
              </w:rPr>
              <w:t>日期</w:t>
            </w:r>
          </w:p>
        </w:tc>
        <w:tc>
          <w:tcPr>
            <w:tcW w:w="4272" w:type="dxa"/>
            <w:gridSpan w:val="2"/>
            <w:vAlign w:val="center"/>
          </w:tcPr>
          <w:p w14:paraId="314F7F01">
            <w:pPr>
              <w:autoSpaceDE w:val="0"/>
              <w:autoSpaceDN w:val="0"/>
              <w:ind w:firstLine="1400" w:firstLineChars="500"/>
              <w:rPr>
                <w:rFonts w:cs="宋体" w:asciiTheme="minorEastAsia" w:hAnsiTheme="minorEastAsia"/>
                <w:kern w:val="0"/>
                <w:sz w:val="28"/>
                <w:szCs w:val="28"/>
                <w:lang w:val="zh-CN" w:bidi="zh-CN"/>
              </w:rPr>
            </w:pPr>
            <w:r>
              <w:rPr>
                <w:rFonts w:hint="eastAsia" w:cs="宋体" w:asciiTheme="minorEastAsia" w:hAnsiTheme="minorEastAsia"/>
                <w:kern w:val="0"/>
                <w:sz w:val="28"/>
                <w:szCs w:val="28"/>
                <w:lang w:val="zh-CN" w:bidi="zh-CN"/>
              </w:rPr>
              <w:t>年</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月</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日</w:t>
            </w:r>
          </w:p>
        </w:tc>
      </w:tr>
      <w:tr w14:paraId="5B3E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trPr>
        <w:tc>
          <w:tcPr>
            <w:tcW w:w="1923" w:type="dxa"/>
            <w:vAlign w:val="center"/>
          </w:tcPr>
          <w:p w14:paraId="39DB257D">
            <w:pPr>
              <w:autoSpaceDE w:val="0"/>
              <w:autoSpaceDN w:val="0"/>
              <w:jc w:val="center"/>
              <w:rPr>
                <w:rFonts w:cs="宋体" w:asciiTheme="minorEastAsia" w:hAnsiTheme="minorEastAsia"/>
                <w:kern w:val="0"/>
                <w:sz w:val="28"/>
                <w:szCs w:val="28"/>
                <w:lang w:val="zh-CN" w:bidi="zh-CN"/>
              </w:rPr>
            </w:pPr>
            <w:r>
              <w:rPr>
                <w:rFonts w:hint="eastAsia" w:cs="宋体" w:asciiTheme="minorEastAsia" w:hAnsiTheme="minorEastAsia"/>
                <w:kern w:val="0"/>
                <w:sz w:val="28"/>
                <w:szCs w:val="28"/>
                <w:lang w:val="zh-CN" w:bidi="zh-CN"/>
              </w:rPr>
              <w:t>运动项目</w:t>
            </w:r>
          </w:p>
        </w:tc>
        <w:tc>
          <w:tcPr>
            <w:tcW w:w="7002" w:type="dxa"/>
            <w:gridSpan w:val="5"/>
            <w:vAlign w:val="center"/>
          </w:tcPr>
          <w:p w14:paraId="1370EB4B">
            <w:pPr>
              <w:autoSpaceDE w:val="0"/>
              <w:autoSpaceDN w:val="0"/>
              <w:ind w:firstLine="2520" w:firstLineChars="900"/>
              <w:jc w:val="left"/>
              <w:rPr>
                <w:rFonts w:cs="宋体" w:asciiTheme="minorEastAsia" w:hAnsiTheme="minorEastAsia"/>
                <w:kern w:val="0"/>
                <w:sz w:val="28"/>
                <w:szCs w:val="28"/>
                <w:lang w:bidi="zh-CN"/>
              </w:rPr>
            </w:pPr>
          </w:p>
        </w:tc>
      </w:tr>
      <w:tr w14:paraId="6A38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923" w:type="dxa"/>
            <w:vAlign w:val="center"/>
          </w:tcPr>
          <w:p w14:paraId="63488279">
            <w:pPr>
              <w:autoSpaceDE w:val="0"/>
              <w:autoSpaceDN w:val="0"/>
              <w:ind w:firstLine="280" w:firstLineChars="10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val="zh-CN" w:bidi="zh-CN"/>
              </w:rPr>
              <w:t>协</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议</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期</w:t>
            </w:r>
          </w:p>
        </w:tc>
        <w:tc>
          <w:tcPr>
            <w:tcW w:w="7002" w:type="dxa"/>
            <w:gridSpan w:val="5"/>
            <w:vAlign w:val="center"/>
          </w:tcPr>
          <w:p w14:paraId="6497FE23">
            <w:pPr>
              <w:autoSpaceDE w:val="0"/>
              <w:autoSpaceDN w:val="0"/>
              <w:ind w:firstLine="280" w:firstLineChars="10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 xml:space="preserve">202    </w:t>
            </w:r>
            <w:r>
              <w:rPr>
                <w:rFonts w:hint="eastAsia" w:cs="宋体" w:asciiTheme="minorEastAsia" w:hAnsiTheme="minorEastAsia"/>
                <w:kern w:val="0"/>
                <w:sz w:val="28"/>
                <w:szCs w:val="28"/>
                <w:lang w:val="zh-CN" w:bidi="zh-CN"/>
              </w:rPr>
              <w:t xml:space="preserve">年 </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 xml:space="preserve"> 月 </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 xml:space="preserve"> 日</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 xml:space="preserve">——   </w:t>
            </w:r>
            <w:r>
              <w:rPr>
                <w:rFonts w:hint="eastAsia" w:cs="宋体" w:asciiTheme="minorEastAsia" w:hAnsiTheme="minorEastAsia"/>
                <w:kern w:val="0"/>
                <w:sz w:val="28"/>
                <w:szCs w:val="28"/>
                <w:lang w:bidi="zh-CN"/>
              </w:rPr>
              <w:t xml:space="preserve">202 </w:t>
            </w:r>
            <w:r>
              <w:rPr>
                <w:rFonts w:hint="eastAsia" w:cs="宋体" w:asciiTheme="minorEastAsia" w:hAnsiTheme="minorEastAsia"/>
                <w:kern w:val="0"/>
                <w:sz w:val="28"/>
                <w:szCs w:val="28"/>
                <w:lang w:val="zh-CN" w:bidi="zh-CN"/>
              </w:rPr>
              <w:t xml:space="preserve"> 年</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 xml:space="preserve"> 月</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 xml:space="preserve">  日</w:t>
            </w:r>
          </w:p>
        </w:tc>
      </w:tr>
      <w:tr w14:paraId="41AB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9" w:hRule="atLeast"/>
        </w:trPr>
        <w:tc>
          <w:tcPr>
            <w:tcW w:w="4366" w:type="dxa"/>
            <w:gridSpan w:val="3"/>
          </w:tcPr>
          <w:p w14:paraId="6F8F5DED">
            <w:pPr>
              <w:autoSpaceDE w:val="0"/>
              <w:autoSpaceDN w:val="0"/>
              <w:spacing w:before="10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val="zh-CN" w:bidi="zh-CN"/>
              </w:rPr>
              <w:t>法人代表或被授权人签字</w:t>
            </w:r>
          </w:p>
          <w:p w14:paraId="79F0BD53">
            <w:pPr>
              <w:autoSpaceDE w:val="0"/>
              <w:autoSpaceDN w:val="0"/>
              <w:jc w:val="left"/>
              <w:rPr>
                <w:rFonts w:cs="宋体" w:asciiTheme="minorEastAsia" w:hAnsiTheme="minorEastAsia"/>
                <w:kern w:val="0"/>
                <w:sz w:val="24"/>
                <w:szCs w:val="24"/>
                <w:lang w:bidi="zh-CN"/>
              </w:rPr>
            </w:pPr>
          </w:p>
          <w:p w14:paraId="276052AB">
            <w:pPr>
              <w:autoSpaceDE w:val="0"/>
              <w:autoSpaceDN w:val="0"/>
              <w:jc w:val="left"/>
              <w:rPr>
                <w:rFonts w:cs="宋体" w:asciiTheme="minorEastAsia" w:hAnsiTheme="minorEastAsia"/>
                <w:kern w:val="0"/>
                <w:sz w:val="24"/>
                <w:szCs w:val="24"/>
                <w:lang w:bidi="zh-CN"/>
              </w:rPr>
            </w:pPr>
          </w:p>
          <w:p w14:paraId="23D7C955">
            <w:pPr>
              <w:autoSpaceDE w:val="0"/>
              <w:autoSpaceDN w:val="0"/>
              <w:jc w:val="left"/>
              <w:rPr>
                <w:rFonts w:cs="宋体" w:asciiTheme="minorEastAsia" w:hAnsiTheme="minorEastAsia"/>
                <w:kern w:val="0"/>
                <w:sz w:val="24"/>
                <w:szCs w:val="24"/>
                <w:lang w:bidi="zh-CN"/>
              </w:rPr>
            </w:pPr>
          </w:p>
          <w:p w14:paraId="79FC7651">
            <w:pPr>
              <w:autoSpaceDE w:val="0"/>
              <w:autoSpaceDN w:val="0"/>
              <w:jc w:val="left"/>
              <w:rPr>
                <w:rFonts w:cs="宋体" w:asciiTheme="minorEastAsia" w:hAnsiTheme="minorEastAsia"/>
                <w:kern w:val="0"/>
                <w:sz w:val="28"/>
                <w:szCs w:val="28"/>
                <w:lang w:val="zh-CN" w:bidi="zh-CN"/>
              </w:rPr>
            </w:pPr>
          </w:p>
          <w:p w14:paraId="0DA5524D">
            <w:pPr>
              <w:autoSpaceDE w:val="0"/>
              <w:autoSpaceDN w:val="0"/>
              <w:jc w:val="left"/>
              <w:rPr>
                <w:rFonts w:cs="宋体" w:asciiTheme="minorEastAsia" w:hAnsiTheme="minorEastAsia"/>
                <w:kern w:val="0"/>
                <w:sz w:val="28"/>
                <w:szCs w:val="28"/>
                <w:lang w:val="zh-CN" w:bidi="zh-CN"/>
              </w:rPr>
            </w:pPr>
          </w:p>
          <w:p w14:paraId="529B3B77">
            <w:pPr>
              <w:autoSpaceDE w:val="0"/>
              <w:autoSpaceDN w:val="0"/>
              <w:jc w:val="left"/>
              <w:rPr>
                <w:rFonts w:cs="宋体" w:asciiTheme="minorEastAsia" w:hAnsiTheme="minorEastAsia"/>
                <w:kern w:val="0"/>
                <w:sz w:val="24"/>
                <w:szCs w:val="24"/>
                <w:lang w:bidi="zh-CN"/>
              </w:rPr>
            </w:pPr>
            <w:r>
              <w:rPr>
                <w:rFonts w:hint="eastAsia" w:cs="宋体" w:asciiTheme="minorEastAsia" w:hAnsiTheme="minorEastAsia"/>
                <w:kern w:val="0"/>
                <w:sz w:val="24"/>
                <w:szCs w:val="24"/>
                <w:lang w:bidi="zh-CN"/>
              </w:rPr>
              <w:t>代表单位或其主管部门 公章：</w:t>
            </w:r>
          </w:p>
          <w:p w14:paraId="4D341A76">
            <w:pPr>
              <w:pStyle w:val="3"/>
              <w:rPr>
                <w:lang w:bidi="zh-CN"/>
              </w:rPr>
            </w:pPr>
          </w:p>
          <w:p w14:paraId="68A7BE49">
            <w:pPr>
              <w:autoSpaceDE w:val="0"/>
              <w:autoSpaceDN w:val="0"/>
              <w:spacing w:after="100"/>
              <w:ind w:right="868"/>
              <w:jc w:val="right"/>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 xml:space="preserve">202  </w:t>
            </w:r>
            <w:r>
              <w:rPr>
                <w:rFonts w:hint="eastAsia" w:cs="宋体" w:asciiTheme="minorEastAsia" w:hAnsiTheme="minorEastAsia"/>
                <w:kern w:val="0"/>
                <w:sz w:val="28"/>
                <w:szCs w:val="28"/>
                <w:lang w:val="zh-CN" w:bidi="zh-CN"/>
              </w:rPr>
              <w:t>年  月  日</w:t>
            </w:r>
          </w:p>
        </w:tc>
        <w:tc>
          <w:tcPr>
            <w:tcW w:w="4559" w:type="dxa"/>
            <w:gridSpan w:val="3"/>
          </w:tcPr>
          <w:p w14:paraId="775659A7">
            <w:pPr>
              <w:autoSpaceDE w:val="0"/>
              <w:autoSpaceDN w:val="0"/>
              <w:spacing w:before="10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球</w:t>
            </w:r>
            <w:r>
              <w:rPr>
                <w:rFonts w:hint="eastAsia" w:cs="宋体" w:asciiTheme="minorEastAsia" w:hAnsiTheme="minorEastAsia"/>
                <w:kern w:val="0"/>
                <w:sz w:val="28"/>
                <w:szCs w:val="28"/>
                <w:lang w:val="zh-CN" w:bidi="zh-CN"/>
              </w:rPr>
              <w:t>员（年满16周岁）</w:t>
            </w:r>
          </w:p>
          <w:p w14:paraId="585D1E38">
            <w:pPr>
              <w:autoSpaceDE w:val="0"/>
              <w:autoSpaceDN w:val="0"/>
              <w:spacing w:before="10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本人</w:t>
            </w:r>
            <w:r>
              <w:rPr>
                <w:rFonts w:hint="eastAsia" w:cs="宋体" w:asciiTheme="minorEastAsia" w:hAnsiTheme="minorEastAsia"/>
                <w:kern w:val="0"/>
                <w:sz w:val="28"/>
                <w:szCs w:val="28"/>
                <w:lang w:val="zh-CN" w:bidi="zh-CN"/>
              </w:rPr>
              <w:t>签字</w:t>
            </w:r>
          </w:p>
          <w:p w14:paraId="6C9CF3BD">
            <w:pPr>
              <w:autoSpaceDE w:val="0"/>
              <w:autoSpaceDN w:val="0"/>
              <w:spacing w:before="100"/>
              <w:jc w:val="left"/>
              <w:rPr>
                <w:rFonts w:cs="宋体" w:asciiTheme="minorEastAsia" w:hAnsiTheme="minorEastAsia"/>
                <w:kern w:val="0"/>
                <w:sz w:val="28"/>
                <w:szCs w:val="28"/>
                <w:lang w:val="zh-CN" w:bidi="zh-CN"/>
              </w:rPr>
            </w:pPr>
            <w:r>
              <w:rPr>
                <w:rFonts w:hint="eastAsia" w:cs="宋体" w:asciiTheme="minorEastAsia" w:hAnsiTheme="minorEastAsia"/>
                <w:kern w:val="0"/>
                <w:sz w:val="28"/>
                <w:szCs w:val="28"/>
                <w:lang w:val="zh-CN" w:bidi="zh-CN"/>
              </w:rPr>
              <w:t>和指纹印</w:t>
            </w:r>
          </w:p>
          <w:p w14:paraId="2ED07EC8">
            <w:pPr>
              <w:autoSpaceDE w:val="0"/>
              <w:autoSpaceDN w:val="0"/>
              <w:jc w:val="left"/>
              <w:rPr>
                <w:rFonts w:cs="宋体" w:asciiTheme="minorEastAsia" w:hAnsiTheme="minorEastAsia"/>
                <w:kern w:val="0"/>
                <w:sz w:val="28"/>
                <w:szCs w:val="28"/>
                <w:lang w:val="zh-CN" w:bidi="zh-CN"/>
              </w:rPr>
            </w:pPr>
          </w:p>
          <w:p w14:paraId="040DB5CB">
            <w:pPr>
              <w:pStyle w:val="3"/>
              <w:rPr>
                <w:rFonts w:cs="宋体" w:asciiTheme="minorEastAsia" w:hAnsiTheme="minorEastAsia" w:eastAsiaTheme="minorEastAsia"/>
                <w:kern w:val="0"/>
                <w:sz w:val="28"/>
                <w:szCs w:val="28"/>
                <w:lang w:val="zh-CN" w:bidi="zh-CN"/>
              </w:rPr>
            </w:pPr>
          </w:p>
          <w:p w14:paraId="7FB7FC6D">
            <w:pPr>
              <w:pStyle w:val="3"/>
              <w:jc w:val="both"/>
              <w:rPr>
                <w:rFonts w:cs="宋体" w:asciiTheme="minorEastAsia" w:hAnsiTheme="minorEastAsia" w:eastAsiaTheme="minorEastAsia"/>
                <w:kern w:val="0"/>
                <w:sz w:val="28"/>
                <w:szCs w:val="28"/>
                <w:lang w:bidi="zh-CN"/>
              </w:rPr>
            </w:pPr>
            <w:r>
              <w:rPr>
                <w:rFonts w:hint="eastAsia" w:cs="宋体" w:asciiTheme="minorEastAsia" w:hAnsiTheme="minorEastAsia" w:eastAsiaTheme="minorEastAsia"/>
                <w:kern w:val="0"/>
                <w:sz w:val="28"/>
                <w:szCs w:val="28"/>
                <w:lang w:bidi="zh-CN"/>
              </w:rPr>
              <w:t>监护人：</w:t>
            </w:r>
          </w:p>
          <w:p w14:paraId="597F264B">
            <w:pPr>
              <w:autoSpaceDE w:val="0"/>
              <w:autoSpaceDN w:val="0"/>
              <w:jc w:val="left"/>
              <w:rPr>
                <w:rFonts w:cs="宋体" w:asciiTheme="minorEastAsia" w:hAnsiTheme="minorEastAsia"/>
                <w:kern w:val="0"/>
                <w:sz w:val="28"/>
                <w:szCs w:val="28"/>
                <w:lang w:val="zh-CN" w:bidi="zh-CN"/>
              </w:rPr>
            </w:pPr>
          </w:p>
          <w:p w14:paraId="0BBCEEBD">
            <w:pPr>
              <w:autoSpaceDE w:val="0"/>
              <w:autoSpaceDN w:val="0"/>
              <w:ind w:right="594"/>
              <w:jc w:val="center"/>
              <w:rPr>
                <w:rFonts w:cs="宋体" w:asciiTheme="minorEastAsia" w:hAnsiTheme="minorEastAsia"/>
                <w:kern w:val="0"/>
                <w:sz w:val="28"/>
                <w:szCs w:val="28"/>
                <w:lang w:val="zh-CN" w:bidi="zh-CN"/>
              </w:rPr>
            </w:pPr>
            <w:r>
              <w:rPr>
                <w:rFonts w:hint="eastAsia" w:cs="宋体" w:asciiTheme="minorEastAsia" w:hAnsiTheme="minorEastAsia"/>
                <w:kern w:val="0"/>
                <w:sz w:val="28"/>
                <w:szCs w:val="28"/>
                <w:lang w:bidi="zh-CN"/>
              </w:rPr>
              <w:t xml:space="preserve">     202 </w:t>
            </w:r>
            <w:r>
              <w:rPr>
                <w:rFonts w:hint="eastAsia" w:cs="宋体" w:asciiTheme="minorEastAsia" w:hAnsiTheme="minorEastAsia"/>
                <w:kern w:val="0"/>
                <w:sz w:val="28"/>
                <w:szCs w:val="28"/>
                <w:lang w:val="zh-CN" w:bidi="zh-CN"/>
              </w:rPr>
              <w:t>年  月</w:t>
            </w:r>
            <w:r>
              <w:rPr>
                <w:rFonts w:hint="eastAsia" w:cs="宋体" w:asciiTheme="minorEastAsia" w:hAnsiTheme="minorEastAsia"/>
                <w:kern w:val="0"/>
                <w:sz w:val="28"/>
                <w:szCs w:val="28"/>
                <w:lang w:bidi="zh-CN"/>
              </w:rPr>
              <w:t xml:space="preserve">  </w:t>
            </w:r>
            <w:r>
              <w:rPr>
                <w:rFonts w:hint="eastAsia" w:cs="宋体" w:asciiTheme="minorEastAsia" w:hAnsiTheme="minorEastAsia"/>
                <w:kern w:val="0"/>
                <w:sz w:val="28"/>
                <w:szCs w:val="28"/>
                <w:lang w:val="zh-CN" w:bidi="zh-CN"/>
              </w:rPr>
              <w:t>日</w:t>
            </w:r>
          </w:p>
        </w:tc>
      </w:tr>
    </w:tbl>
    <w:p w14:paraId="23CF0730">
      <w:pPr>
        <w:overflowPunct w:val="0"/>
        <w:spacing w:line="540" w:lineRule="exact"/>
        <w:rPr>
          <w:rFonts w:cs="宋体" w:asciiTheme="minorEastAsia" w:hAnsiTheme="minorEastAsia"/>
          <w:kern w:val="0"/>
          <w:sz w:val="28"/>
          <w:szCs w:val="28"/>
          <w:lang w:bidi="zh-CN"/>
        </w:rPr>
      </w:pPr>
      <w:bookmarkStart w:id="1" w:name="_Hlk96184202"/>
      <w:r>
        <w:rPr>
          <w:rFonts w:hint="eastAsia" w:cs="宋体" w:asciiTheme="minorEastAsia" w:hAnsiTheme="minorEastAsia"/>
          <w:kern w:val="0"/>
          <w:sz w:val="28"/>
          <w:szCs w:val="28"/>
          <w:lang w:bidi="zh-CN"/>
        </w:rPr>
        <w:t>注：1、如球员未满16岁，还需其监护人签字。</w:t>
      </w:r>
    </w:p>
    <w:p w14:paraId="66192242">
      <w:pPr>
        <w:overflowPunct w:val="0"/>
        <w:spacing w:line="540" w:lineRule="exact"/>
        <w:ind w:firstLine="560" w:firstLineChars="200"/>
        <w:rPr>
          <w:rFonts w:ascii="黑体" w:hAnsi="黑体" w:eastAsia="黑体"/>
          <w:sz w:val="32"/>
          <w:szCs w:val="32"/>
        </w:rPr>
      </w:pPr>
      <w:r>
        <w:rPr>
          <w:rFonts w:hint="eastAsia" w:cs="宋体" w:asciiTheme="minorEastAsia" w:hAnsiTheme="minorEastAsia"/>
          <w:kern w:val="0"/>
          <w:sz w:val="28"/>
          <w:szCs w:val="28"/>
          <w:lang w:bidi="zh-CN"/>
        </w:rPr>
        <w:t>2、若</w:t>
      </w:r>
      <w:r>
        <w:rPr>
          <w:rFonts w:hint="eastAsia" w:cs="宋体" w:asciiTheme="minorEastAsia" w:hAnsiTheme="minorEastAsia"/>
          <w:kern w:val="0"/>
          <w:sz w:val="28"/>
          <w:szCs w:val="28"/>
          <w:lang w:val="zh-CN" w:bidi="zh-CN"/>
        </w:rPr>
        <w:t>被授权人签字，须附法人代表签字且加盖公章的授权书。</w:t>
      </w:r>
      <w:bookmarkEnd w:id="1"/>
    </w:p>
    <w:p w14:paraId="02269D30">
      <w:pPr>
        <w:pStyle w:val="11"/>
        <w:spacing w:before="0" w:beforeAutospacing="0" w:after="0" w:afterAutospacing="0" w:line="560" w:lineRule="exact"/>
        <w:rPr>
          <w:rFonts w:ascii="黑体" w:hAnsi="黑体" w:eastAsia="黑体" w:cs="黑体"/>
          <w:sz w:val="32"/>
          <w:szCs w:val="32"/>
        </w:rPr>
      </w:pPr>
    </w:p>
    <w:p w14:paraId="40811FB4">
      <w:pPr>
        <w:pStyle w:val="11"/>
        <w:spacing w:before="0" w:beforeAutospacing="0" w:after="0" w:afterAutospacing="0" w:line="560" w:lineRule="exact"/>
        <w:rPr>
          <w:rFonts w:ascii="黑体" w:hAnsi="黑体" w:eastAsia="黑体" w:cs="黑体"/>
          <w:sz w:val="32"/>
          <w:szCs w:val="32"/>
        </w:rPr>
      </w:pPr>
      <w:r>
        <w:rPr>
          <w:rFonts w:hint="eastAsia" w:ascii="黑体" w:hAnsi="黑体" w:eastAsia="黑体" w:cs="黑体"/>
          <w:sz w:val="32"/>
          <w:szCs w:val="32"/>
        </w:rPr>
        <w:t>附件4</w:t>
      </w:r>
    </w:p>
    <w:p w14:paraId="08494FE5">
      <w:pPr>
        <w:pStyle w:val="11"/>
        <w:spacing w:before="0" w:beforeAutospacing="0" w:after="0" w:afterAutospacing="0" w:line="560" w:lineRule="exact"/>
        <w:jc w:val="center"/>
        <w:rPr>
          <w:rFonts w:cs="Arial"/>
          <w:b/>
          <w:sz w:val="44"/>
          <w:szCs w:val="44"/>
        </w:rPr>
      </w:pPr>
      <w:r>
        <w:rPr>
          <w:rFonts w:hint="eastAsia" w:cs="Arial"/>
          <w:b/>
          <w:sz w:val="44"/>
          <w:szCs w:val="44"/>
        </w:rPr>
        <w:t>中国篮球协会参赛运动队名称和比赛服装规范</w:t>
      </w:r>
    </w:p>
    <w:p w14:paraId="13D5161D">
      <w:pPr>
        <w:pStyle w:val="11"/>
        <w:spacing w:before="0" w:beforeAutospacing="0" w:after="0" w:afterAutospacing="0" w:line="560" w:lineRule="exact"/>
        <w:jc w:val="center"/>
        <w:rPr>
          <w:rFonts w:cs="Arial"/>
          <w:b/>
          <w:sz w:val="44"/>
          <w:szCs w:val="44"/>
        </w:rPr>
      </w:pPr>
    </w:p>
    <w:p w14:paraId="3635A4D3">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 xml:space="preserve">第一条  </w:t>
      </w:r>
      <w:r>
        <w:rPr>
          <w:rFonts w:ascii="仿宋" w:hAnsi="仿宋" w:eastAsia="仿宋" w:cs="Arial"/>
          <w:sz w:val="32"/>
          <w:szCs w:val="32"/>
        </w:rPr>
        <w:t>为了</w:t>
      </w:r>
      <w:r>
        <w:rPr>
          <w:rFonts w:hint="eastAsia" w:ascii="仿宋" w:hAnsi="仿宋" w:eastAsia="仿宋" w:cs="Arial"/>
          <w:sz w:val="32"/>
          <w:szCs w:val="32"/>
        </w:rPr>
        <w:t>规范</w:t>
      </w:r>
      <w:r>
        <w:rPr>
          <w:rFonts w:ascii="仿宋" w:hAnsi="仿宋" w:eastAsia="仿宋" w:cs="Arial"/>
          <w:sz w:val="32"/>
          <w:szCs w:val="32"/>
        </w:rPr>
        <w:t>在</w:t>
      </w:r>
      <w:r>
        <w:rPr>
          <w:rFonts w:hint="eastAsia" w:ascii="仿宋" w:hAnsi="仿宋" w:eastAsia="仿宋" w:cs="Arial"/>
          <w:sz w:val="32"/>
          <w:szCs w:val="32"/>
        </w:rPr>
        <w:t>中国篮球协会</w:t>
      </w:r>
      <w:r>
        <w:rPr>
          <w:rFonts w:ascii="仿宋" w:hAnsi="仿宋" w:eastAsia="仿宋" w:cs="Arial"/>
          <w:sz w:val="32"/>
          <w:szCs w:val="32"/>
        </w:rPr>
        <w:t>注册的</w:t>
      </w:r>
      <w:r>
        <w:rPr>
          <w:rFonts w:hint="eastAsia" w:ascii="仿宋" w:hAnsi="仿宋" w:eastAsia="仿宋" w:cs="Arial"/>
          <w:sz w:val="32"/>
          <w:szCs w:val="32"/>
        </w:rPr>
        <w:t>各篮球</w:t>
      </w:r>
      <w:r>
        <w:rPr>
          <w:rFonts w:ascii="仿宋" w:hAnsi="仿宋" w:eastAsia="仿宋" w:cs="Arial"/>
          <w:sz w:val="32"/>
          <w:szCs w:val="32"/>
        </w:rPr>
        <w:t>俱乐部</w:t>
      </w:r>
      <w:r>
        <w:rPr>
          <w:rFonts w:hint="eastAsia" w:ascii="仿宋" w:hAnsi="仿宋" w:eastAsia="仿宋" w:cs="Arial"/>
          <w:sz w:val="32"/>
          <w:szCs w:val="32"/>
        </w:rPr>
        <w:t xml:space="preserve">及其运动队的名称（含标识）和比赛服装（含服装广告）, </w:t>
      </w:r>
      <w:r>
        <w:rPr>
          <w:rFonts w:ascii="仿宋" w:hAnsi="仿宋" w:eastAsia="仿宋" w:cs="Arial"/>
          <w:sz w:val="32"/>
          <w:szCs w:val="32"/>
        </w:rPr>
        <w:t>特制定本</w:t>
      </w:r>
      <w:r>
        <w:rPr>
          <w:rFonts w:hint="eastAsia" w:ascii="仿宋" w:hAnsi="仿宋" w:eastAsia="仿宋" w:cs="Arial"/>
          <w:sz w:val="32"/>
          <w:szCs w:val="32"/>
        </w:rPr>
        <w:t>规范。</w:t>
      </w:r>
    </w:p>
    <w:p w14:paraId="0A7E8B7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 xml:space="preserve">第二条  </w:t>
      </w:r>
      <w:r>
        <w:rPr>
          <w:rFonts w:ascii="仿宋" w:hAnsi="仿宋" w:eastAsia="仿宋" w:cs="Arial"/>
          <w:sz w:val="32"/>
          <w:szCs w:val="32"/>
        </w:rPr>
        <w:t>本</w:t>
      </w:r>
      <w:r>
        <w:rPr>
          <w:rFonts w:hint="eastAsia" w:ascii="仿宋" w:hAnsi="仿宋" w:eastAsia="仿宋" w:cs="Arial"/>
          <w:sz w:val="32"/>
          <w:szCs w:val="32"/>
        </w:rPr>
        <w:t>办法适用中国篮球协会（以下简称中国篮协）主办的各项赛会制赛事。</w:t>
      </w:r>
      <w:r>
        <w:rPr>
          <w:rFonts w:ascii="仿宋" w:hAnsi="仿宋" w:eastAsia="仿宋" w:cs="Arial"/>
          <w:sz w:val="32"/>
          <w:szCs w:val="32"/>
        </w:rPr>
        <w:t>中国男子篮球</w:t>
      </w:r>
      <w:r>
        <w:rPr>
          <w:rFonts w:hint="eastAsia" w:ascii="仿宋" w:hAnsi="仿宋" w:eastAsia="仿宋" w:cs="Arial"/>
          <w:sz w:val="32"/>
          <w:szCs w:val="32"/>
        </w:rPr>
        <w:t>职业</w:t>
      </w:r>
      <w:r>
        <w:rPr>
          <w:rFonts w:ascii="仿宋" w:hAnsi="仿宋" w:eastAsia="仿宋" w:cs="Arial"/>
          <w:sz w:val="32"/>
          <w:szCs w:val="32"/>
        </w:rPr>
        <w:t>联赛</w:t>
      </w:r>
      <w:r>
        <w:rPr>
          <w:rFonts w:hint="eastAsia" w:ascii="仿宋" w:hAnsi="仿宋" w:eastAsia="仿宋" w:cs="Arial"/>
          <w:sz w:val="32"/>
          <w:szCs w:val="32"/>
        </w:rPr>
        <w:t>可拟定相关规定，</w:t>
      </w:r>
      <w:r>
        <w:rPr>
          <w:rFonts w:ascii="仿宋" w:hAnsi="仿宋" w:eastAsia="仿宋" w:cs="Arial"/>
          <w:sz w:val="32"/>
          <w:szCs w:val="32"/>
        </w:rPr>
        <w:t>参照</w:t>
      </w:r>
      <w:r>
        <w:rPr>
          <w:rFonts w:hint="eastAsia" w:ascii="仿宋" w:hAnsi="仿宋" w:eastAsia="仿宋" w:cs="Arial"/>
          <w:sz w:val="32"/>
          <w:szCs w:val="32"/>
        </w:rPr>
        <w:t>执</w:t>
      </w:r>
      <w:r>
        <w:rPr>
          <w:rFonts w:ascii="仿宋" w:hAnsi="仿宋" w:eastAsia="仿宋" w:cs="Arial"/>
          <w:sz w:val="32"/>
          <w:szCs w:val="32"/>
        </w:rPr>
        <w:t>行。</w:t>
      </w:r>
    </w:p>
    <w:p w14:paraId="21BA1236">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第三条  参赛运动队的</w:t>
      </w:r>
      <w:r>
        <w:rPr>
          <w:rFonts w:ascii="仿宋" w:hAnsi="仿宋" w:eastAsia="仿宋" w:cs="Arial"/>
          <w:sz w:val="32"/>
          <w:szCs w:val="32"/>
        </w:rPr>
        <w:t>名称指</w:t>
      </w:r>
      <w:r>
        <w:rPr>
          <w:rFonts w:hint="eastAsia" w:ascii="仿宋" w:hAnsi="仿宋" w:eastAsia="仿宋" w:cs="Arial"/>
          <w:sz w:val="32"/>
          <w:szCs w:val="32"/>
        </w:rPr>
        <w:t>俱乐部</w:t>
      </w:r>
      <w:r>
        <w:rPr>
          <w:rFonts w:ascii="仿宋" w:hAnsi="仿宋" w:eastAsia="仿宋" w:cs="Arial"/>
          <w:sz w:val="32"/>
          <w:szCs w:val="32"/>
        </w:rPr>
        <w:t>在工商或民政部门登记注册的名称</w:t>
      </w:r>
      <w:r>
        <w:rPr>
          <w:rFonts w:hint="eastAsia" w:ascii="仿宋" w:hAnsi="仿宋" w:eastAsia="仿宋" w:cs="Arial"/>
          <w:sz w:val="32"/>
          <w:szCs w:val="32"/>
        </w:rPr>
        <w:t>或在其注册单位登记的名称</w:t>
      </w:r>
      <w:r>
        <w:rPr>
          <w:rFonts w:ascii="仿宋" w:hAnsi="仿宋" w:eastAsia="仿宋" w:cs="Arial"/>
          <w:sz w:val="32"/>
          <w:szCs w:val="32"/>
        </w:rPr>
        <w:t>。</w:t>
      </w:r>
    </w:p>
    <w:p w14:paraId="5F1EC278">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参赛俱乐部</w:t>
      </w:r>
      <w:r>
        <w:rPr>
          <w:rFonts w:ascii="仿宋" w:hAnsi="仿宋" w:eastAsia="仿宋" w:cs="Arial"/>
          <w:sz w:val="32"/>
          <w:szCs w:val="32"/>
        </w:rPr>
        <w:t>球队名称</w:t>
      </w:r>
      <w:r>
        <w:rPr>
          <w:rFonts w:hint="eastAsia" w:ascii="仿宋" w:hAnsi="仿宋" w:eastAsia="仿宋" w:cs="Arial"/>
          <w:sz w:val="32"/>
          <w:szCs w:val="32"/>
        </w:rPr>
        <w:t>应依次包含：</w:t>
      </w:r>
      <w:r>
        <w:rPr>
          <w:rFonts w:ascii="仿宋" w:hAnsi="仿宋" w:eastAsia="仿宋" w:cs="Arial"/>
          <w:sz w:val="32"/>
          <w:szCs w:val="32"/>
        </w:rPr>
        <w:t>地名（省、</w:t>
      </w:r>
      <w:r>
        <w:rPr>
          <w:rFonts w:hint="eastAsia" w:ascii="仿宋" w:hAnsi="仿宋" w:eastAsia="仿宋" w:cs="Arial"/>
          <w:sz w:val="32"/>
          <w:szCs w:val="32"/>
        </w:rPr>
        <w:t>直辖</w:t>
      </w:r>
      <w:r>
        <w:rPr>
          <w:rFonts w:ascii="仿宋" w:hAnsi="仿宋" w:eastAsia="仿宋" w:cs="Arial"/>
          <w:sz w:val="32"/>
          <w:szCs w:val="32"/>
        </w:rPr>
        <w:t>市、自治区、特别行政区名）+</w:t>
      </w:r>
      <w:r>
        <w:rPr>
          <w:rFonts w:hint="eastAsia" w:ascii="仿宋" w:hAnsi="仿宋" w:eastAsia="仿宋" w:cs="Arial"/>
          <w:sz w:val="32"/>
          <w:szCs w:val="32"/>
        </w:rPr>
        <w:t>注册</w:t>
      </w:r>
      <w:r>
        <w:rPr>
          <w:rFonts w:ascii="仿宋" w:hAnsi="仿宋" w:eastAsia="仿宋" w:cs="Arial"/>
          <w:sz w:val="32"/>
          <w:szCs w:val="32"/>
        </w:rPr>
        <w:t>企业名（可以空缺）+</w:t>
      </w:r>
      <w:r>
        <w:rPr>
          <w:rFonts w:hint="eastAsia" w:ascii="仿宋" w:hAnsi="仿宋" w:eastAsia="仿宋" w:cs="Arial"/>
          <w:sz w:val="32"/>
          <w:szCs w:val="32"/>
        </w:rPr>
        <w:t>吉祥物</w:t>
      </w:r>
      <w:r>
        <w:rPr>
          <w:rFonts w:ascii="仿宋" w:hAnsi="仿宋" w:eastAsia="仿宋" w:cs="Arial"/>
          <w:sz w:val="32"/>
          <w:szCs w:val="32"/>
        </w:rPr>
        <w:t>名</w:t>
      </w:r>
      <w:r>
        <w:rPr>
          <w:rFonts w:hint="eastAsia" w:ascii="仿宋" w:hAnsi="仿宋" w:eastAsia="仿宋" w:cs="Arial"/>
          <w:sz w:val="32"/>
          <w:szCs w:val="32"/>
        </w:rPr>
        <w:t>（吉祥物名只有一个字的应置于企业名前）</w:t>
      </w:r>
      <w:r>
        <w:rPr>
          <w:rFonts w:ascii="仿宋" w:hAnsi="仿宋" w:eastAsia="仿宋" w:cs="Arial"/>
          <w:sz w:val="32"/>
          <w:szCs w:val="32"/>
        </w:rPr>
        <w:t>+</w:t>
      </w:r>
      <w:r>
        <w:rPr>
          <w:rFonts w:hint="eastAsia" w:ascii="仿宋" w:hAnsi="仿宋" w:eastAsia="仿宋" w:cs="Arial"/>
          <w:sz w:val="32"/>
          <w:szCs w:val="32"/>
        </w:rPr>
        <w:t xml:space="preserve"> </w:t>
      </w:r>
      <w:r>
        <w:rPr>
          <w:rFonts w:ascii="仿宋" w:hAnsi="仿宋" w:eastAsia="仿宋" w:cs="Arial"/>
          <w:sz w:val="32"/>
          <w:szCs w:val="32"/>
        </w:rPr>
        <w:t>机构模式（</w:t>
      </w:r>
      <w:r>
        <w:rPr>
          <w:rFonts w:hint="eastAsia" w:ascii="仿宋" w:hAnsi="仿宋" w:eastAsia="仿宋" w:cs="Arial"/>
          <w:sz w:val="32"/>
          <w:szCs w:val="32"/>
        </w:rPr>
        <w:t>职业</w:t>
      </w:r>
      <w:r>
        <w:rPr>
          <w:rFonts w:ascii="仿宋" w:hAnsi="仿宋" w:eastAsia="仿宋" w:cs="Arial"/>
          <w:sz w:val="32"/>
          <w:szCs w:val="32"/>
        </w:rPr>
        <w:t>俱乐部</w:t>
      </w:r>
      <w:r>
        <w:rPr>
          <w:rFonts w:hint="eastAsia" w:ascii="仿宋" w:hAnsi="仿宋" w:eastAsia="仿宋" w:cs="Arial"/>
          <w:sz w:val="32"/>
          <w:szCs w:val="32"/>
        </w:rPr>
        <w:t>或俱乐部</w:t>
      </w:r>
      <w:r>
        <w:rPr>
          <w:rFonts w:ascii="仿宋" w:hAnsi="仿宋" w:eastAsia="仿宋" w:cs="Arial"/>
          <w:sz w:val="32"/>
          <w:szCs w:val="32"/>
        </w:rPr>
        <w:t>）</w:t>
      </w:r>
      <w:r>
        <w:rPr>
          <w:rFonts w:hint="eastAsia" w:ascii="仿宋" w:hAnsi="仿宋" w:eastAsia="仿宋" w:cs="Arial"/>
          <w:sz w:val="32"/>
          <w:szCs w:val="32"/>
        </w:rPr>
        <w:t>+</w:t>
      </w:r>
      <w:r>
        <w:rPr>
          <w:rFonts w:ascii="仿宋" w:hAnsi="仿宋" w:eastAsia="仿宋" w:cs="Arial"/>
          <w:sz w:val="32"/>
          <w:szCs w:val="32"/>
        </w:rPr>
        <w:t>冠名赞助商名（仅限一家企业，最多不超过</w:t>
      </w:r>
      <w:r>
        <w:rPr>
          <w:rFonts w:hint="eastAsia" w:ascii="仿宋" w:hAnsi="仿宋" w:eastAsia="仿宋" w:cs="Arial"/>
          <w:sz w:val="32"/>
          <w:szCs w:val="32"/>
        </w:rPr>
        <w:t>4</w:t>
      </w:r>
      <w:r>
        <w:rPr>
          <w:rFonts w:ascii="仿宋" w:hAnsi="仿宋" w:eastAsia="仿宋" w:cs="Arial"/>
          <w:sz w:val="32"/>
          <w:szCs w:val="32"/>
        </w:rPr>
        <w:t>个字</w:t>
      </w:r>
      <w:r>
        <w:rPr>
          <w:rFonts w:hint="eastAsia" w:ascii="仿宋" w:hAnsi="仿宋" w:eastAsia="仿宋" w:cs="Arial"/>
          <w:sz w:val="32"/>
          <w:szCs w:val="32"/>
        </w:rPr>
        <w:t>；</w:t>
      </w:r>
      <w:r>
        <w:rPr>
          <w:rFonts w:ascii="仿宋" w:hAnsi="仿宋" w:eastAsia="仿宋" w:cs="Arial"/>
          <w:sz w:val="32"/>
          <w:szCs w:val="32"/>
        </w:rPr>
        <w:t>可以空缺）</w:t>
      </w:r>
      <w:r>
        <w:rPr>
          <w:rFonts w:hint="eastAsia" w:ascii="仿宋" w:hAnsi="仿宋" w:eastAsia="仿宋" w:cs="Arial"/>
          <w:sz w:val="32"/>
          <w:szCs w:val="32"/>
        </w:rPr>
        <w:t>+项目（篮球队）</w:t>
      </w:r>
    </w:p>
    <w:p w14:paraId="6EA96407">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例</w:t>
      </w:r>
      <w:r>
        <w:rPr>
          <w:rFonts w:hint="eastAsia" w:ascii="仿宋" w:hAnsi="仿宋" w:eastAsia="仿宋" w:cs="Arial"/>
          <w:sz w:val="32"/>
          <w:szCs w:val="32"/>
        </w:rPr>
        <w:t>1</w:t>
      </w:r>
      <w:r>
        <w:rPr>
          <w:rFonts w:ascii="仿宋" w:hAnsi="仿宋" w:eastAsia="仿宋" w:cs="Arial"/>
          <w:sz w:val="32"/>
          <w:szCs w:val="32"/>
        </w:rPr>
        <w:t>：</w:t>
      </w:r>
      <w:r>
        <w:rPr>
          <w:rFonts w:hint="eastAsia" w:ascii="仿宋" w:hAnsi="仿宋" w:eastAsia="仿宋" w:cs="Arial"/>
          <w:sz w:val="32"/>
          <w:szCs w:val="32"/>
        </w:rPr>
        <w:t>北京·鸭·首钢·俱乐部·金隅·篮球队</w:t>
      </w:r>
    </w:p>
    <w:p w14:paraId="353029B2">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例2：天津·荣钢·金狮·俱乐部·融宝支付·篮球队</w:t>
      </w:r>
    </w:p>
    <w:p w14:paraId="0BA0C761">
      <w:pPr>
        <w:pStyle w:val="11"/>
        <w:spacing w:before="0" w:beforeAutospacing="0" w:after="0" w:afterAutospacing="0" w:line="560" w:lineRule="exact"/>
        <w:ind w:left="596" w:leftChars="284"/>
        <w:jc w:val="both"/>
        <w:rPr>
          <w:rFonts w:ascii="仿宋" w:hAnsi="仿宋" w:eastAsia="仿宋" w:cs="Arial"/>
          <w:sz w:val="32"/>
          <w:szCs w:val="32"/>
        </w:rPr>
      </w:pPr>
      <w:r>
        <w:rPr>
          <w:rFonts w:hint="eastAsia" w:ascii="仿宋" w:hAnsi="仿宋" w:eastAsia="仿宋" w:cs="Arial"/>
          <w:sz w:val="32"/>
          <w:szCs w:val="32"/>
        </w:rPr>
        <w:t>例3：东城总局·星期二·篮球队</w:t>
      </w:r>
    </w:p>
    <w:p w14:paraId="77A21539">
      <w:pPr>
        <w:pStyle w:val="11"/>
        <w:spacing w:before="0" w:beforeAutospacing="0" w:after="0" w:afterAutospacing="0" w:line="560" w:lineRule="exact"/>
        <w:ind w:left="596" w:leftChars="284"/>
        <w:jc w:val="both"/>
        <w:rPr>
          <w:rFonts w:ascii="仿宋" w:hAnsi="仿宋" w:eastAsia="仿宋" w:cs="Arial"/>
          <w:sz w:val="32"/>
          <w:szCs w:val="32"/>
        </w:rPr>
      </w:pPr>
      <w:r>
        <w:rPr>
          <w:rFonts w:hint="eastAsia" w:ascii="仿宋" w:hAnsi="仿宋" w:eastAsia="仿宋" w:cs="Arial"/>
          <w:sz w:val="32"/>
          <w:szCs w:val="32"/>
        </w:rPr>
        <w:t>参赛俱乐部</w:t>
      </w:r>
      <w:r>
        <w:rPr>
          <w:rFonts w:ascii="仿宋" w:hAnsi="仿宋" w:eastAsia="仿宋" w:cs="Arial"/>
          <w:sz w:val="32"/>
          <w:szCs w:val="32"/>
        </w:rPr>
        <w:t>球队</w:t>
      </w:r>
      <w:r>
        <w:rPr>
          <w:rFonts w:hint="eastAsia" w:ascii="仿宋" w:hAnsi="仿宋" w:eastAsia="仿宋" w:cs="Arial"/>
          <w:sz w:val="32"/>
          <w:szCs w:val="32"/>
        </w:rPr>
        <w:t>简称（</w:t>
      </w:r>
      <w:r>
        <w:rPr>
          <w:rFonts w:ascii="仿宋" w:hAnsi="仿宋" w:eastAsia="仿宋" w:cs="Arial"/>
          <w:sz w:val="32"/>
          <w:szCs w:val="32"/>
        </w:rPr>
        <w:t>最多不超过</w:t>
      </w:r>
      <w:r>
        <w:rPr>
          <w:rFonts w:hint="eastAsia" w:ascii="仿宋" w:hAnsi="仿宋" w:eastAsia="仿宋" w:cs="Arial"/>
          <w:sz w:val="32"/>
          <w:szCs w:val="32"/>
        </w:rPr>
        <w:t>6</w:t>
      </w:r>
      <w:r>
        <w:rPr>
          <w:rFonts w:ascii="仿宋" w:hAnsi="仿宋" w:eastAsia="仿宋" w:cs="Arial"/>
          <w:sz w:val="32"/>
          <w:szCs w:val="32"/>
        </w:rPr>
        <w:t>个字）：</w:t>
      </w:r>
    </w:p>
    <w:p w14:paraId="7B757B2E">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例</w:t>
      </w:r>
      <w:r>
        <w:rPr>
          <w:rFonts w:hint="eastAsia" w:ascii="仿宋" w:hAnsi="仿宋" w:eastAsia="仿宋" w:cs="Arial"/>
          <w:sz w:val="32"/>
          <w:szCs w:val="32"/>
        </w:rPr>
        <w:t>1</w:t>
      </w:r>
      <w:r>
        <w:rPr>
          <w:rFonts w:ascii="仿宋" w:hAnsi="仿宋" w:eastAsia="仿宋" w:cs="Arial"/>
          <w:sz w:val="32"/>
          <w:szCs w:val="32"/>
        </w:rPr>
        <w:t>：</w:t>
      </w:r>
      <w:r>
        <w:rPr>
          <w:rFonts w:hint="eastAsia" w:ascii="仿宋" w:hAnsi="仿宋" w:eastAsia="仿宋" w:cs="Arial"/>
          <w:sz w:val="32"/>
          <w:szCs w:val="32"/>
        </w:rPr>
        <w:t>北京首钢或北京金隅队</w:t>
      </w:r>
    </w:p>
    <w:p w14:paraId="1F945647">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例2：天津融宝支付队</w:t>
      </w:r>
    </w:p>
    <w:p w14:paraId="38C81F6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例3：东城星期二队</w:t>
      </w:r>
    </w:p>
    <w:p w14:paraId="0968875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注：队名中地名仅限一个，冠名赞助商名仅限一家企业。</w:t>
      </w:r>
    </w:p>
    <w:p w14:paraId="4DA61860">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第四条  参赛运动</w:t>
      </w:r>
      <w:r>
        <w:rPr>
          <w:rFonts w:ascii="仿宋" w:hAnsi="仿宋" w:eastAsia="仿宋" w:cs="Arial"/>
          <w:sz w:val="32"/>
          <w:szCs w:val="32"/>
        </w:rPr>
        <w:t>队</w:t>
      </w:r>
      <w:r>
        <w:rPr>
          <w:rFonts w:hint="eastAsia" w:ascii="仿宋" w:hAnsi="仿宋" w:eastAsia="仿宋" w:cs="Arial"/>
          <w:sz w:val="32"/>
          <w:szCs w:val="32"/>
        </w:rPr>
        <w:t>名称和</w:t>
      </w:r>
      <w:r>
        <w:rPr>
          <w:rFonts w:ascii="仿宋" w:hAnsi="仿宋" w:eastAsia="仿宋" w:cs="Arial"/>
          <w:sz w:val="32"/>
          <w:szCs w:val="32"/>
        </w:rPr>
        <w:t>标</w:t>
      </w:r>
      <w:r>
        <w:rPr>
          <w:rFonts w:hint="eastAsia" w:ascii="仿宋" w:hAnsi="仿宋" w:eastAsia="仿宋" w:cs="Arial"/>
          <w:sz w:val="32"/>
          <w:szCs w:val="32"/>
        </w:rPr>
        <w:t>识应是俱乐部地域特征及文化体现。标识</w:t>
      </w:r>
      <w:r>
        <w:rPr>
          <w:rFonts w:ascii="仿宋" w:hAnsi="仿宋" w:eastAsia="仿宋" w:cs="Arial"/>
          <w:sz w:val="32"/>
          <w:szCs w:val="32"/>
        </w:rPr>
        <w:t>主体应该是生活中喜闻乐见的动物或</w:t>
      </w:r>
      <w:r>
        <w:rPr>
          <w:rFonts w:hint="eastAsia" w:ascii="仿宋" w:hAnsi="仿宋" w:eastAsia="仿宋" w:cs="Arial"/>
          <w:sz w:val="32"/>
          <w:szCs w:val="32"/>
        </w:rPr>
        <w:t>能够体现当地特色</w:t>
      </w:r>
      <w:r>
        <w:rPr>
          <w:rFonts w:ascii="仿宋" w:hAnsi="仿宋" w:eastAsia="仿宋" w:cs="Arial"/>
          <w:sz w:val="32"/>
          <w:szCs w:val="32"/>
        </w:rPr>
        <w:t>（</w:t>
      </w:r>
      <w:r>
        <w:rPr>
          <w:rFonts w:hint="eastAsia" w:ascii="仿宋" w:hAnsi="仿宋" w:eastAsia="仿宋" w:cs="Arial"/>
          <w:sz w:val="32"/>
          <w:szCs w:val="32"/>
        </w:rPr>
        <w:t>如</w:t>
      </w:r>
      <w:r>
        <w:rPr>
          <w:rFonts w:ascii="仿宋" w:hAnsi="仿宋" w:eastAsia="仿宋" w:cs="Arial"/>
          <w:sz w:val="32"/>
          <w:szCs w:val="32"/>
        </w:rPr>
        <w:t>：东北虎、勇胜）的卡通形象。</w:t>
      </w:r>
      <w:r>
        <w:rPr>
          <w:rFonts w:hint="eastAsia" w:ascii="仿宋" w:hAnsi="仿宋" w:eastAsia="仿宋" w:cs="Arial"/>
          <w:sz w:val="32"/>
          <w:szCs w:val="32"/>
        </w:rPr>
        <w:t>俱乐部及其球队的</w:t>
      </w:r>
      <w:r>
        <w:rPr>
          <w:rFonts w:ascii="仿宋" w:hAnsi="仿宋" w:eastAsia="仿宋" w:cs="Arial"/>
          <w:sz w:val="32"/>
          <w:szCs w:val="32"/>
        </w:rPr>
        <w:t>标</w:t>
      </w:r>
      <w:r>
        <w:rPr>
          <w:rFonts w:hint="eastAsia" w:ascii="仿宋" w:hAnsi="仿宋" w:eastAsia="仿宋" w:cs="Arial"/>
          <w:sz w:val="32"/>
          <w:szCs w:val="32"/>
        </w:rPr>
        <w:t>识应</w:t>
      </w:r>
      <w:r>
        <w:rPr>
          <w:rFonts w:ascii="仿宋" w:hAnsi="仿宋" w:eastAsia="仿宋" w:cs="Arial"/>
          <w:sz w:val="32"/>
          <w:szCs w:val="32"/>
        </w:rPr>
        <w:t>由俱乐部自行设计</w:t>
      </w:r>
      <w:r>
        <w:rPr>
          <w:rFonts w:hint="eastAsia" w:ascii="仿宋" w:hAnsi="仿宋" w:eastAsia="仿宋" w:cs="Arial"/>
          <w:sz w:val="32"/>
          <w:szCs w:val="32"/>
        </w:rPr>
        <w:t>制作</w:t>
      </w:r>
      <w:r>
        <w:rPr>
          <w:rFonts w:ascii="仿宋" w:hAnsi="仿宋" w:eastAsia="仿宋" w:cs="Arial"/>
          <w:sz w:val="32"/>
          <w:szCs w:val="32"/>
        </w:rPr>
        <w:t>，</w:t>
      </w:r>
      <w:r>
        <w:rPr>
          <w:rFonts w:hint="eastAsia" w:ascii="仿宋" w:hAnsi="仿宋" w:eastAsia="仿宋" w:cs="Arial"/>
          <w:sz w:val="32"/>
          <w:szCs w:val="32"/>
        </w:rPr>
        <w:t>但在正式使用前应报</w:t>
      </w:r>
      <w:r>
        <w:rPr>
          <w:rFonts w:ascii="仿宋" w:hAnsi="仿宋" w:eastAsia="仿宋" w:cs="Arial"/>
          <w:sz w:val="32"/>
          <w:szCs w:val="32"/>
        </w:rPr>
        <w:t>经</w:t>
      </w:r>
      <w:r>
        <w:rPr>
          <w:rFonts w:hint="eastAsia" w:ascii="仿宋" w:hAnsi="仿宋" w:eastAsia="仿宋" w:cs="Arial"/>
          <w:sz w:val="32"/>
          <w:szCs w:val="32"/>
        </w:rPr>
        <w:t>中国篮球协会或其授权机构</w:t>
      </w:r>
      <w:r>
        <w:rPr>
          <w:rFonts w:ascii="仿宋" w:hAnsi="仿宋" w:eastAsia="仿宋" w:cs="Arial"/>
          <w:sz w:val="32"/>
          <w:szCs w:val="32"/>
        </w:rPr>
        <w:t>审核</w:t>
      </w:r>
      <w:r>
        <w:rPr>
          <w:rFonts w:hint="eastAsia" w:ascii="仿宋" w:hAnsi="仿宋" w:eastAsia="仿宋" w:cs="Arial"/>
          <w:sz w:val="32"/>
          <w:szCs w:val="32"/>
        </w:rPr>
        <w:t>批准</w:t>
      </w:r>
      <w:r>
        <w:rPr>
          <w:rFonts w:ascii="仿宋" w:hAnsi="仿宋" w:eastAsia="仿宋" w:cs="Arial"/>
          <w:sz w:val="32"/>
          <w:szCs w:val="32"/>
        </w:rPr>
        <w:t>。</w:t>
      </w:r>
    </w:p>
    <w:p w14:paraId="650CCB6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第五条  参赛运动队名称及标识必须健康、积极、中性、合规，原则应用中文。在首次注册或更改时，必须填写“中国篮协参赛俱乐部球队名称、标志申报表”并加盖公章，向中国篮协申报。对不合规的名称和标识，中国篮协有权要求其更改。</w:t>
      </w:r>
      <w:r>
        <w:rPr>
          <w:rFonts w:ascii="仿宋" w:hAnsi="仿宋" w:eastAsia="仿宋" w:cs="Arial"/>
          <w:sz w:val="32"/>
          <w:szCs w:val="32"/>
        </w:rPr>
        <w:t>俱乐部</w:t>
      </w:r>
      <w:r>
        <w:rPr>
          <w:rFonts w:hint="eastAsia" w:ascii="仿宋" w:hAnsi="仿宋" w:eastAsia="仿宋" w:cs="Arial"/>
          <w:sz w:val="32"/>
          <w:szCs w:val="32"/>
        </w:rPr>
        <w:t>及其</w:t>
      </w:r>
      <w:r>
        <w:rPr>
          <w:rFonts w:ascii="仿宋" w:hAnsi="仿宋" w:eastAsia="仿宋" w:cs="Arial"/>
          <w:sz w:val="32"/>
          <w:szCs w:val="32"/>
        </w:rPr>
        <w:t>球队名称、标</w:t>
      </w:r>
      <w:r>
        <w:rPr>
          <w:rFonts w:hint="eastAsia" w:ascii="仿宋" w:hAnsi="仿宋" w:eastAsia="仿宋" w:cs="Arial"/>
          <w:sz w:val="32"/>
          <w:szCs w:val="32"/>
        </w:rPr>
        <w:t>识</w:t>
      </w:r>
      <w:r>
        <w:rPr>
          <w:rFonts w:ascii="仿宋" w:hAnsi="仿宋" w:eastAsia="仿宋" w:cs="Arial"/>
          <w:sz w:val="32"/>
          <w:szCs w:val="32"/>
        </w:rPr>
        <w:t>一</w:t>
      </w:r>
      <w:r>
        <w:rPr>
          <w:rFonts w:hint="eastAsia" w:ascii="仿宋" w:hAnsi="仿宋" w:eastAsia="仿宋" w:cs="Arial"/>
          <w:sz w:val="32"/>
          <w:szCs w:val="32"/>
        </w:rPr>
        <w:t>经登记注册</w:t>
      </w:r>
      <w:r>
        <w:rPr>
          <w:rFonts w:ascii="仿宋" w:hAnsi="仿宋" w:eastAsia="仿宋" w:cs="Arial"/>
          <w:sz w:val="32"/>
          <w:szCs w:val="32"/>
        </w:rPr>
        <w:t>，</w:t>
      </w:r>
      <w:r>
        <w:rPr>
          <w:rFonts w:hint="eastAsia" w:ascii="仿宋" w:hAnsi="仿宋" w:eastAsia="仿宋" w:cs="Arial"/>
          <w:sz w:val="32"/>
          <w:szCs w:val="32"/>
        </w:rPr>
        <w:t>未经中国篮球协会批准不得擅自更改。</w:t>
      </w:r>
    </w:p>
    <w:p w14:paraId="7A84F005">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第六条  参赛运动队名称及标识的所有权属于该俱乐部，中国篮球协在宣传、推广、公共关系和市场开拓活动中拥有使用权。CBA、NBL、WCBA、三超俱</w:t>
      </w:r>
      <w:r>
        <w:rPr>
          <w:rFonts w:ascii="仿宋" w:hAnsi="仿宋" w:eastAsia="仿宋" w:cs="Arial"/>
          <w:sz w:val="32"/>
          <w:szCs w:val="32"/>
        </w:rPr>
        <w:t>乐部球队</w:t>
      </w:r>
      <w:r>
        <w:rPr>
          <w:rFonts w:hint="eastAsia" w:ascii="仿宋" w:hAnsi="仿宋" w:eastAsia="仿宋" w:cs="Arial"/>
          <w:sz w:val="32"/>
          <w:szCs w:val="32"/>
        </w:rPr>
        <w:t>名称</w:t>
      </w:r>
      <w:r>
        <w:rPr>
          <w:rFonts w:ascii="仿宋" w:hAnsi="仿宋" w:eastAsia="仿宋" w:cs="Arial"/>
          <w:sz w:val="32"/>
          <w:szCs w:val="32"/>
        </w:rPr>
        <w:t>标</w:t>
      </w:r>
      <w:r>
        <w:rPr>
          <w:rFonts w:hint="eastAsia" w:ascii="仿宋" w:hAnsi="仿宋" w:eastAsia="仿宋" w:cs="Arial"/>
          <w:sz w:val="32"/>
          <w:szCs w:val="32"/>
        </w:rPr>
        <w:t>识</w:t>
      </w:r>
      <w:r>
        <w:rPr>
          <w:rFonts w:ascii="仿宋" w:hAnsi="仿宋" w:eastAsia="仿宋" w:cs="Arial"/>
          <w:sz w:val="32"/>
          <w:szCs w:val="32"/>
        </w:rPr>
        <w:t>的所有权和使用权</w:t>
      </w:r>
      <w:r>
        <w:rPr>
          <w:rFonts w:hint="eastAsia" w:ascii="仿宋" w:hAnsi="仿宋" w:eastAsia="仿宋" w:cs="Arial"/>
          <w:sz w:val="32"/>
          <w:szCs w:val="32"/>
        </w:rPr>
        <w:t>按联赛手册执行。</w:t>
      </w:r>
    </w:p>
    <w:p w14:paraId="603DAB5B">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第七条  俱乐部运动队因发生</w:t>
      </w:r>
      <w:r>
        <w:rPr>
          <w:rFonts w:ascii="仿宋" w:hAnsi="仿宋" w:eastAsia="仿宋" w:cs="Arial"/>
          <w:sz w:val="32"/>
          <w:szCs w:val="32"/>
        </w:rPr>
        <w:t>股权转让</w:t>
      </w:r>
      <w:r>
        <w:rPr>
          <w:rFonts w:hint="eastAsia" w:ascii="仿宋" w:hAnsi="仿宋" w:eastAsia="仿宋" w:cs="Arial"/>
          <w:sz w:val="32"/>
          <w:szCs w:val="32"/>
        </w:rPr>
        <w:t>等重大事项需要</w:t>
      </w:r>
      <w:r>
        <w:rPr>
          <w:rFonts w:ascii="仿宋" w:hAnsi="仿宋" w:eastAsia="仿宋" w:cs="Arial"/>
          <w:sz w:val="32"/>
          <w:szCs w:val="32"/>
        </w:rPr>
        <w:t>更改俱乐部</w:t>
      </w:r>
      <w:r>
        <w:rPr>
          <w:rFonts w:hint="eastAsia" w:ascii="仿宋" w:hAnsi="仿宋" w:eastAsia="仿宋" w:cs="Arial"/>
          <w:sz w:val="32"/>
          <w:szCs w:val="32"/>
        </w:rPr>
        <w:t>名称标识的，须重新报批。俱乐部</w:t>
      </w:r>
      <w:r>
        <w:rPr>
          <w:rFonts w:ascii="仿宋" w:hAnsi="仿宋" w:eastAsia="仿宋" w:cs="Arial"/>
          <w:sz w:val="32"/>
          <w:szCs w:val="32"/>
        </w:rPr>
        <w:t>在同一年度内</w:t>
      </w:r>
      <w:r>
        <w:rPr>
          <w:rFonts w:hint="eastAsia" w:ascii="仿宋" w:hAnsi="仿宋" w:eastAsia="仿宋" w:cs="Arial"/>
          <w:sz w:val="32"/>
          <w:szCs w:val="32"/>
        </w:rPr>
        <w:t>或同一赛季内，不得再次申请更改名称标识。</w:t>
      </w:r>
    </w:p>
    <w:p w14:paraId="2CCD64DD">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第八条  参赛运动队</w:t>
      </w:r>
      <w:r>
        <w:rPr>
          <w:rFonts w:ascii="仿宋" w:hAnsi="仿宋" w:eastAsia="仿宋" w:cs="Arial"/>
          <w:sz w:val="32"/>
          <w:szCs w:val="32"/>
        </w:rPr>
        <w:t>冠名（</w:t>
      </w:r>
      <w:r>
        <w:rPr>
          <w:rFonts w:hint="eastAsia" w:ascii="仿宋" w:hAnsi="仿宋" w:eastAsia="仿宋" w:cs="Arial"/>
          <w:sz w:val="32"/>
          <w:szCs w:val="32"/>
        </w:rPr>
        <w:t>含服装</w:t>
      </w:r>
      <w:r>
        <w:rPr>
          <w:rFonts w:ascii="仿宋" w:hAnsi="仿宋" w:eastAsia="仿宋" w:cs="Arial"/>
          <w:sz w:val="32"/>
          <w:szCs w:val="32"/>
        </w:rPr>
        <w:t>广告）</w:t>
      </w:r>
      <w:r>
        <w:rPr>
          <w:rFonts w:hint="eastAsia" w:ascii="仿宋" w:hAnsi="仿宋" w:eastAsia="仿宋" w:cs="Arial"/>
          <w:sz w:val="32"/>
          <w:szCs w:val="32"/>
        </w:rPr>
        <w:t>必须</w:t>
      </w:r>
      <w:r>
        <w:rPr>
          <w:rFonts w:ascii="仿宋" w:hAnsi="仿宋" w:eastAsia="仿宋" w:cs="Arial"/>
          <w:sz w:val="32"/>
          <w:szCs w:val="32"/>
        </w:rPr>
        <w:t>严格遵守国家有关规定，不得出现烟草、烈性酒广告（</w:t>
      </w:r>
      <w:r>
        <w:rPr>
          <w:rFonts w:hint="eastAsia" w:ascii="仿宋" w:hAnsi="仿宋" w:eastAsia="仿宋" w:cs="Arial"/>
          <w:sz w:val="32"/>
          <w:szCs w:val="32"/>
        </w:rPr>
        <w:t>已批准除外）</w:t>
      </w:r>
      <w:r>
        <w:rPr>
          <w:rFonts w:ascii="仿宋" w:hAnsi="仿宋" w:eastAsia="仿宋" w:cs="Arial"/>
          <w:sz w:val="32"/>
          <w:szCs w:val="32"/>
        </w:rPr>
        <w:t>，也不能出现有损于运动会形象，不宜进行公众宣传的广告。</w:t>
      </w:r>
    </w:p>
    <w:p w14:paraId="72EA07A8">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第九条  比赛服装</w:t>
      </w:r>
      <w:r>
        <w:rPr>
          <w:rFonts w:ascii="仿宋" w:hAnsi="仿宋" w:eastAsia="仿宋" w:cs="Arial"/>
          <w:sz w:val="32"/>
          <w:szCs w:val="32"/>
        </w:rPr>
        <w:t>必须符合篮球规则的有关规定，并执行如下统一规定，</w:t>
      </w:r>
      <w:r>
        <w:rPr>
          <w:rFonts w:hint="eastAsia" w:ascii="仿宋" w:hAnsi="仿宋" w:eastAsia="仿宋" w:cs="Arial"/>
          <w:sz w:val="32"/>
          <w:szCs w:val="32"/>
        </w:rPr>
        <w:t>见附图示</w:t>
      </w:r>
      <w:r>
        <w:rPr>
          <w:rFonts w:ascii="仿宋" w:hAnsi="仿宋" w:eastAsia="仿宋" w:cs="Arial"/>
          <w:sz w:val="32"/>
          <w:szCs w:val="32"/>
        </w:rPr>
        <w:t>：</w:t>
      </w:r>
    </w:p>
    <w:p w14:paraId="1E4BBF0E">
      <w:pPr>
        <w:pStyle w:val="11"/>
        <w:spacing w:before="0" w:beforeAutospacing="0" w:after="0" w:afterAutospacing="0" w:line="560" w:lineRule="exact"/>
        <w:ind w:firstLine="640" w:firstLineChars="200"/>
        <w:jc w:val="both"/>
        <w:rPr>
          <w:rFonts w:ascii="仿宋" w:hAnsi="仿宋" w:eastAsia="仿宋" w:cs="Arial"/>
          <w:color w:val="FF0000"/>
          <w:sz w:val="32"/>
          <w:szCs w:val="32"/>
        </w:rPr>
      </w:pPr>
      <w:r>
        <w:rPr>
          <w:rFonts w:ascii="仿宋" w:hAnsi="仿宋" w:eastAsia="仿宋" w:cs="Arial"/>
          <w:sz w:val="32"/>
          <w:szCs w:val="32"/>
        </w:rPr>
        <w:t>(一)比赛背心正面</w:t>
      </w:r>
      <w:r>
        <w:rPr>
          <w:rFonts w:hint="eastAsia" w:ascii="仿宋" w:hAnsi="仿宋" w:eastAsia="仿宋" w:cs="Arial"/>
          <w:sz w:val="32"/>
          <w:szCs w:val="32"/>
        </w:rPr>
        <w:t>：</w:t>
      </w:r>
      <w:r>
        <w:rPr>
          <w:rFonts w:ascii="仿宋" w:hAnsi="仿宋" w:eastAsia="仿宋" w:cs="Arial"/>
          <w:sz w:val="32"/>
          <w:szCs w:val="32"/>
        </w:rPr>
        <w:t>中间偏上为运动队名称（</w:t>
      </w:r>
      <w:r>
        <w:rPr>
          <w:rFonts w:hint="eastAsia" w:ascii="仿宋" w:hAnsi="仿宋" w:eastAsia="仿宋" w:cs="Arial"/>
          <w:sz w:val="32"/>
          <w:szCs w:val="32"/>
        </w:rPr>
        <w:t>面积不大于8cm×25cm</w:t>
      </w:r>
      <w:r>
        <w:rPr>
          <w:rFonts w:ascii="仿宋" w:hAnsi="仿宋" w:eastAsia="仿宋" w:cs="Arial"/>
          <w:sz w:val="32"/>
          <w:szCs w:val="32"/>
        </w:rPr>
        <w:t>），运动队名称可为省市名+赞助商名（不超过6个汉字或十二个字</w:t>
      </w:r>
      <w:r>
        <w:rPr>
          <w:rFonts w:ascii="仿宋" w:hAnsi="仿宋" w:eastAsia="仿宋" w:cs="Arial"/>
          <w:color w:val="000000" w:themeColor="text1"/>
          <w:sz w:val="32"/>
          <w:szCs w:val="32"/>
          <w14:textFill>
            <w14:solidFill>
              <w14:schemeClr w14:val="tx1"/>
            </w14:solidFill>
          </w14:textFill>
        </w:rPr>
        <w:t>节）</w:t>
      </w:r>
      <w:r>
        <w:rPr>
          <w:rFonts w:hint="eastAsia" w:ascii="仿宋" w:hAnsi="仿宋" w:eastAsia="仿宋" w:cs="Arial"/>
          <w:color w:val="000000" w:themeColor="text1"/>
          <w:sz w:val="32"/>
          <w:szCs w:val="32"/>
          <w14:textFill>
            <w14:solidFill>
              <w14:schemeClr w14:val="tx1"/>
            </w14:solidFill>
          </w14:textFill>
        </w:rPr>
        <w:t>。</w:t>
      </w:r>
      <w:r>
        <w:rPr>
          <w:rFonts w:ascii="仿宋" w:hAnsi="仿宋" w:eastAsia="仿宋" w:cs="Arial"/>
          <w:color w:val="000000" w:themeColor="text1"/>
          <w:sz w:val="32"/>
          <w:szCs w:val="32"/>
          <w14:textFill>
            <w14:solidFill>
              <w14:schemeClr w14:val="tx1"/>
            </w14:solidFill>
          </w14:textFill>
        </w:rPr>
        <w:t>运动员号码必须出现在运动队名称的</w:t>
      </w:r>
      <w:r>
        <w:rPr>
          <w:rFonts w:hint="eastAsia" w:ascii="仿宋" w:hAnsi="仿宋" w:eastAsia="仿宋" w:cs="Arial"/>
          <w:color w:val="000000" w:themeColor="text1"/>
          <w:sz w:val="32"/>
          <w:szCs w:val="32"/>
          <w14:textFill>
            <w14:solidFill>
              <w14:schemeClr w14:val="tx1"/>
            </w14:solidFill>
          </w14:textFill>
        </w:rPr>
        <w:t>正下</w:t>
      </w:r>
      <w:r>
        <w:rPr>
          <w:rFonts w:ascii="仿宋" w:hAnsi="仿宋" w:eastAsia="仿宋" w:cs="Arial"/>
          <w:color w:val="000000" w:themeColor="text1"/>
          <w:sz w:val="32"/>
          <w:szCs w:val="32"/>
          <w14:textFill>
            <w14:solidFill>
              <w14:schemeClr w14:val="tx1"/>
            </w14:solidFill>
          </w14:textFill>
        </w:rPr>
        <w:t>方，并清晰可见，</w:t>
      </w:r>
      <w:r>
        <w:rPr>
          <w:rFonts w:hint="eastAsia" w:ascii="仿宋" w:hAnsi="仿宋" w:eastAsia="仿宋" w:cs="Arial"/>
          <w:color w:val="000000" w:themeColor="text1"/>
          <w:sz w:val="32"/>
          <w:szCs w:val="32"/>
          <w14:textFill>
            <w14:solidFill>
              <w14:schemeClr w14:val="tx1"/>
            </w14:solidFill>
          </w14:textFill>
        </w:rPr>
        <w:t>号码与运动队名称间距</w:t>
      </w:r>
      <w:r>
        <w:rPr>
          <w:rFonts w:ascii="仿宋" w:hAnsi="仿宋" w:eastAsia="仿宋" w:cs="Arial"/>
          <w:color w:val="000000" w:themeColor="text1"/>
          <w:sz w:val="32"/>
          <w:szCs w:val="32"/>
          <w14:textFill>
            <w14:solidFill>
              <w14:schemeClr w14:val="tx1"/>
            </w14:solidFill>
          </w14:textFill>
        </w:rPr>
        <w:t>4cm，号码</w:t>
      </w:r>
      <w:r>
        <w:rPr>
          <w:rFonts w:hint="eastAsia" w:ascii="仿宋" w:hAnsi="仿宋" w:eastAsia="仿宋" w:cs="Arial"/>
          <w:color w:val="000000" w:themeColor="text1"/>
          <w:sz w:val="32"/>
          <w:szCs w:val="32"/>
          <w14:textFill>
            <w14:solidFill>
              <w14:schemeClr w14:val="tx1"/>
            </w14:solidFill>
          </w14:textFill>
        </w:rPr>
        <w:t>至少</w:t>
      </w:r>
      <w:r>
        <w:rPr>
          <w:rFonts w:ascii="仿宋" w:hAnsi="仿宋" w:eastAsia="仿宋" w:cs="Arial"/>
          <w:color w:val="000000" w:themeColor="text1"/>
          <w:sz w:val="32"/>
          <w:szCs w:val="32"/>
          <w14:textFill>
            <w14:solidFill>
              <w14:schemeClr w14:val="tx1"/>
            </w14:solidFill>
          </w14:textFill>
        </w:rPr>
        <w:t>高8cm,宽5-12cm</w:t>
      </w:r>
      <w:r>
        <w:rPr>
          <w:rFonts w:hint="eastAsia" w:ascii="仿宋" w:hAnsi="仿宋" w:eastAsia="仿宋" w:cs="Arial"/>
          <w:color w:val="000000" w:themeColor="text1"/>
          <w:sz w:val="32"/>
          <w:szCs w:val="32"/>
          <w14:textFill>
            <w14:solidFill>
              <w14:schemeClr w14:val="tx1"/>
            </w14:solidFill>
          </w14:textFill>
        </w:rPr>
        <w:t>。球队广告（如有）出现在号码正下方，与号码间距4cm，面积最大为3</w:t>
      </w:r>
      <w:r>
        <w:rPr>
          <w:rFonts w:ascii="仿宋" w:hAnsi="仿宋" w:eastAsia="仿宋" w:cs="Arial"/>
          <w:color w:val="000000" w:themeColor="text1"/>
          <w:sz w:val="32"/>
          <w:szCs w:val="32"/>
          <w14:textFill>
            <w14:solidFill>
              <w14:schemeClr w14:val="tx1"/>
            </w14:solidFill>
          </w14:textFill>
        </w:rPr>
        <w:t>20</w:t>
      </w:r>
      <w:r>
        <w:rPr>
          <w:rFonts w:hint="eastAsia" w:ascii="仿宋" w:hAnsi="仿宋" w:eastAsia="仿宋" w:cs="Arial"/>
          <w:color w:val="000000" w:themeColor="text1"/>
          <w:sz w:val="32"/>
          <w:szCs w:val="32"/>
          <w14:textFill>
            <w14:solidFill>
              <w14:schemeClr w14:val="tx1"/>
            </w14:solidFill>
          </w14:textFill>
        </w:rPr>
        <w:t xml:space="preserve"> c</w:t>
      </w:r>
      <w:r>
        <w:rPr>
          <w:rFonts w:hint="eastAsia" w:ascii="仿宋" w:hAnsi="仿宋" w:eastAsia="仿宋" w:cs="Arial"/>
          <w:sz w:val="32"/>
          <w:szCs w:val="32"/>
        </w:rPr>
        <w:t>m</w:t>
      </w:r>
      <w:r>
        <w:rPr>
          <w:rFonts w:hint="eastAsia" w:ascii="仿宋" w:hAnsi="仿宋" w:eastAsia="仿宋" w:cs="Arial"/>
          <w:sz w:val="32"/>
          <w:szCs w:val="32"/>
          <w:vertAlign w:val="superscript"/>
        </w:rPr>
        <w:t>2</w:t>
      </w:r>
      <w:r>
        <w:rPr>
          <w:rFonts w:hint="eastAsia" w:ascii="仿宋" w:hAnsi="仿宋" w:eastAsia="仿宋" w:cs="Arial"/>
          <w:sz w:val="32"/>
          <w:szCs w:val="32"/>
        </w:rPr>
        <w:t>。赛事标志（如有）应在运动队名称左上方,面积不大于20cm</w:t>
      </w:r>
      <w:r>
        <w:rPr>
          <w:rFonts w:hint="eastAsia" w:ascii="仿宋" w:hAnsi="仿宋" w:eastAsia="仿宋" w:cs="Arial"/>
          <w:sz w:val="32"/>
          <w:szCs w:val="32"/>
          <w:vertAlign w:val="superscript"/>
        </w:rPr>
        <w:t>2</w:t>
      </w:r>
      <w:r>
        <w:rPr>
          <w:rFonts w:hint="eastAsia" w:ascii="仿宋" w:hAnsi="仿宋" w:eastAsia="仿宋" w:cs="Arial"/>
          <w:sz w:val="32"/>
          <w:szCs w:val="32"/>
        </w:rPr>
        <w:t>;</w:t>
      </w:r>
      <w:r>
        <w:rPr>
          <w:rFonts w:ascii="仿宋" w:hAnsi="仿宋" w:eastAsia="仿宋" w:cs="Arial"/>
          <w:sz w:val="32"/>
          <w:szCs w:val="32"/>
        </w:rPr>
        <w:t>装备品牌商标应在运动队名称的</w:t>
      </w:r>
      <w:r>
        <w:rPr>
          <w:rFonts w:hint="eastAsia" w:ascii="仿宋" w:hAnsi="仿宋" w:eastAsia="仿宋" w:cs="Arial"/>
          <w:sz w:val="32"/>
          <w:szCs w:val="32"/>
        </w:rPr>
        <w:t>右</w:t>
      </w:r>
      <w:r>
        <w:rPr>
          <w:rFonts w:ascii="仿宋" w:hAnsi="仿宋" w:eastAsia="仿宋" w:cs="Arial"/>
          <w:sz w:val="32"/>
          <w:szCs w:val="32"/>
        </w:rPr>
        <w:t>上方，面积不大于</w:t>
      </w:r>
      <w:r>
        <w:rPr>
          <w:rFonts w:hint="eastAsia" w:ascii="仿宋" w:hAnsi="仿宋" w:eastAsia="仿宋" w:cs="Arial"/>
          <w:sz w:val="32"/>
          <w:szCs w:val="32"/>
        </w:rPr>
        <w:t>20cm</w:t>
      </w:r>
      <w:r>
        <w:rPr>
          <w:rFonts w:hint="eastAsia" w:ascii="仿宋" w:hAnsi="仿宋" w:eastAsia="仿宋" w:cs="Arial"/>
          <w:sz w:val="32"/>
          <w:szCs w:val="32"/>
          <w:vertAlign w:val="superscript"/>
        </w:rPr>
        <w:t>2</w:t>
      </w:r>
      <w:r>
        <w:rPr>
          <w:rFonts w:ascii="仿宋" w:hAnsi="仿宋" w:eastAsia="仿宋" w:cs="Arial"/>
          <w:color w:val="000000" w:themeColor="text1"/>
          <w:sz w:val="32"/>
          <w:szCs w:val="32"/>
          <w14:textFill>
            <w14:solidFill>
              <w14:schemeClr w14:val="tx1"/>
            </w14:solidFill>
          </w14:textFill>
        </w:rPr>
        <w:t>（</w:t>
      </w:r>
      <w:r>
        <w:rPr>
          <w:rFonts w:hint="eastAsia" w:ascii="仿宋" w:hAnsi="仿宋" w:eastAsia="仿宋" w:cs="Arial"/>
          <w:color w:val="000000" w:themeColor="text1"/>
          <w:sz w:val="32"/>
          <w:szCs w:val="32"/>
          <w14:textFill>
            <w14:solidFill>
              <w14:schemeClr w14:val="tx1"/>
            </w14:solidFill>
          </w14:textFill>
        </w:rPr>
        <w:t>左右位置可以相互对换，但必须全队统一）。</w:t>
      </w:r>
    </w:p>
    <w:p w14:paraId="253DA435">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（二）比赛背心背面</w:t>
      </w:r>
      <w:r>
        <w:rPr>
          <w:rFonts w:hint="eastAsia" w:ascii="仿宋" w:hAnsi="仿宋" w:eastAsia="仿宋" w:cs="Arial"/>
          <w:sz w:val="32"/>
          <w:szCs w:val="32"/>
        </w:rPr>
        <w:t>：</w:t>
      </w:r>
      <w:r>
        <w:rPr>
          <w:rFonts w:ascii="仿宋" w:hAnsi="仿宋" w:eastAsia="仿宋" w:cs="Arial"/>
          <w:sz w:val="32"/>
          <w:szCs w:val="32"/>
        </w:rPr>
        <w:t>运动员号码必须出现并清晰可见</w:t>
      </w:r>
      <w:r>
        <w:rPr>
          <w:rFonts w:hint="eastAsia" w:ascii="仿宋" w:hAnsi="仿宋" w:eastAsia="仿宋" w:cs="Arial"/>
          <w:sz w:val="32"/>
          <w:szCs w:val="32"/>
        </w:rPr>
        <w:t>，</w:t>
      </w:r>
      <w:r>
        <w:rPr>
          <w:rFonts w:ascii="仿宋" w:hAnsi="仿宋" w:eastAsia="仿宋" w:cs="Arial"/>
          <w:sz w:val="32"/>
          <w:szCs w:val="32"/>
        </w:rPr>
        <w:t>号码</w:t>
      </w:r>
      <w:r>
        <w:rPr>
          <w:rFonts w:hint="eastAsia" w:ascii="仿宋" w:hAnsi="仿宋" w:eastAsia="仿宋" w:cs="Arial"/>
          <w:sz w:val="32"/>
          <w:szCs w:val="32"/>
        </w:rPr>
        <w:t>至少</w:t>
      </w:r>
      <w:r>
        <w:rPr>
          <w:rFonts w:ascii="仿宋" w:hAnsi="仿宋" w:eastAsia="仿宋" w:cs="Arial"/>
          <w:sz w:val="32"/>
          <w:szCs w:val="32"/>
        </w:rPr>
        <w:t>高</w:t>
      </w:r>
      <w:r>
        <w:rPr>
          <w:rFonts w:hint="eastAsia" w:ascii="仿宋" w:hAnsi="仿宋" w:eastAsia="仿宋" w:cs="Arial"/>
          <w:sz w:val="32"/>
          <w:szCs w:val="32"/>
        </w:rPr>
        <w:t>1</w:t>
      </w:r>
      <w:r>
        <w:rPr>
          <w:rFonts w:ascii="仿宋" w:hAnsi="仿宋" w:eastAsia="仿宋" w:cs="Arial"/>
          <w:sz w:val="32"/>
          <w:szCs w:val="32"/>
        </w:rPr>
        <w:t>6cm，</w:t>
      </w:r>
      <w:r>
        <w:rPr>
          <w:rFonts w:ascii="仿宋" w:hAnsi="仿宋" w:eastAsia="仿宋" w:cs="Arial"/>
          <w:color w:val="000000" w:themeColor="text1"/>
          <w:sz w:val="32"/>
          <w:szCs w:val="32"/>
          <w14:textFill>
            <w14:solidFill>
              <w14:schemeClr w14:val="tx1"/>
            </w14:solidFill>
          </w14:textFill>
        </w:rPr>
        <w:t>宽8-15cm,号码笔画宽度至少2cm</w:t>
      </w:r>
      <w:r>
        <w:rPr>
          <w:rFonts w:hint="eastAsia" w:ascii="仿宋" w:hAnsi="仿宋" w:eastAsia="仿宋" w:cs="Arial"/>
          <w:sz w:val="32"/>
          <w:szCs w:val="32"/>
        </w:rPr>
        <w:t>。</w:t>
      </w:r>
      <w:r>
        <w:rPr>
          <w:rFonts w:ascii="仿宋" w:hAnsi="仿宋" w:eastAsia="仿宋" w:cs="Arial"/>
          <w:sz w:val="32"/>
          <w:szCs w:val="32"/>
        </w:rPr>
        <w:t>运动员姓名必须出现</w:t>
      </w:r>
      <w:r>
        <w:rPr>
          <w:rFonts w:hint="eastAsia" w:ascii="仿宋" w:hAnsi="仿宋" w:eastAsia="仿宋" w:cs="Arial"/>
          <w:sz w:val="32"/>
          <w:szCs w:val="32"/>
        </w:rPr>
        <w:t>在</w:t>
      </w:r>
      <w:r>
        <w:rPr>
          <w:rFonts w:ascii="仿宋" w:hAnsi="仿宋" w:eastAsia="仿宋" w:cs="Arial"/>
          <w:sz w:val="32"/>
          <w:szCs w:val="32"/>
        </w:rPr>
        <w:t>比赛服背面，要求用中文</w:t>
      </w:r>
      <w:r>
        <w:rPr>
          <w:rFonts w:hint="eastAsia" w:ascii="仿宋" w:hAnsi="仿宋" w:eastAsia="仿宋" w:cs="Arial"/>
          <w:sz w:val="32"/>
          <w:szCs w:val="32"/>
        </w:rPr>
        <w:t>（不超过6个汉字）</w:t>
      </w:r>
      <w:r>
        <w:rPr>
          <w:rFonts w:ascii="仿宋" w:hAnsi="仿宋" w:eastAsia="仿宋" w:cs="Arial"/>
          <w:sz w:val="32"/>
          <w:szCs w:val="32"/>
        </w:rPr>
        <w:t>，</w:t>
      </w:r>
      <w:r>
        <w:rPr>
          <w:rFonts w:hint="eastAsia" w:ascii="仿宋" w:hAnsi="仿宋" w:eastAsia="仿宋" w:cs="Arial"/>
          <w:sz w:val="32"/>
          <w:szCs w:val="32"/>
        </w:rPr>
        <w:t>高5</w:t>
      </w:r>
      <w:r>
        <w:rPr>
          <w:rFonts w:ascii="仿宋" w:hAnsi="仿宋" w:eastAsia="仿宋" w:cs="Arial"/>
          <w:sz w:val="32"/>
          <w:szCs w:val="32"/>
        </w:rPr>
        <w:t>-8</w:t>
      </w:r>
      <w:r>
        <w:rPr>
          <w:rFonts w:hint="eastAsia" w:ascii="仿宋" w:hAnsi="仿宋" w:eastAsia="仿宋" w:cs="Arial"/>
          <w:sz w:val="32"/>
          <w:szCs w:val="32"/>
        </w:rPr>
        <w:t>cm，</w:t>
      </w:r>
      <w:r>
        <w:rPr>
          <w:rFonts w:ascii="仿宋" w:hAnsi="仿宋" w:eastAsia="仿宋" w:cs="Arial"/>
          <w:sz w:val="32"/>
          <w:szCs w:val="32"/>
        </w:rPr>
        <w:t>，与最上段和号码之间间隔均为</w:t>
      </w:r>
      <w:r>
        <w:rPr>
          <w:rFonts w:hint="eastAsia" w:ascii="仿宋" w:hAnsi="仿宋" w:eastAsia="仿宋" w:cs="Arial"/>
          <w:sz w:val="32"/>
          <w:szCs w:val="32"/>
        </w:rPr>
        <w:t>4</w:t>
      </w:r>
      <w:r>
        <w:rPr>
          <w:rFonts w:ascii="仿宋" w:hAnsi="仿宋" w:eastAsia="仿宋" w:cs="Arial"/>
          <w:sz w:val="32"/>
          <w:szCs w:val="32"/>
        </w:rPr>
        <w:t>cm</w:t>
      </w:r>
      <w:r>
        <w:rPr>
          <w:rFonts w:hint="eastAsia" w:ascii="仿宋" w:hAnsi="仿宋" w:eastAsia="仿宋" w:cs="Arial"/>
          <w:sz w:val="32"/>
          <w:szCs w:val="32"/>
        </w:rPr>
        <w:t>。球</w:t>
      </w:r>
      <w:r>
        <w:rPr>
          <w:rFonts w:ascii="仿宋" w:hAnsi="仿宋" w:eastAsia="仿宋" w:cs="Arial"/>
          <w:sz w:val="32"/>
          <w:szCs w:val="32"/>
        </w:rPr>
        <w:t>队广告（如有）出现在运动员号码下方，面积</w:t>
      </w:r>
      <w:r>
        <w:rPr>
          <w:rFonts w:hint="eastAsia" w:ascii="仿宋" w:hAnsi="仿宋" w:eastAsia="仿宋" w:cs="Arial"/>
          <w:sz w:val="32"/>
          <w:szCs w:val="32"/>
        </w:rPr>
        <w:t>不大于3</w:t>
      </w:r>
      <w:r>
        <w:rPr>
          <w:rFonts w:ascii="仿宋" w:hAnsi="仿宋" w:eastAsia="仿宋" w:cs="Arial"/>
          <w:sz w:val="32"/>
          <w:szCs w:val="32"/>
        </w:rPr>
        <w:t>20</w:t>
      </w:r>
      <w:r>
        <w:rPr>
          <w:rFonts w:hint="eastAsia" w:ascii="仿宋" w:hAnsi="仿宋" w:eastAsia="仿宋" w:cs="Arial"/>
          <w:sz w:val="32"/>
          <w:szCs w:val="32"/>
        </w:rPr>
        <w:t xml:space="preserve"> cm</w:t>
      </w:r>
      <w:r>
        <w:rPr>
          <w:rFonts w:hint="eastAsia" w:ascii="仿宋" w:hAnsi="仿宋" w:eastAsia="仿宋" w:cs="Arial"/>
          <w:sz w:val="32"/>
          <w:szCs w:val="32"/>
          <w:vertAlign w:val="superscript"/>
        </w:rPr>
        <w:t>2</w:t>
      </w:r>
      <w:r>
        <w:rPr>
          <w:rFonts w:hint="eastAsia" w:ascii="仿宋" w:hAnsi="仿宋" w:eastAsia="仿宋" w:cs="Arial"/>
          <w:sz w:val="32"/>
          <w:szCs w:val="32"/>
        </w:rPr>
        <w:t>；</w:t>
      </w:r>
      <w:r>
        <w:rPr>
          <w:rFonts w:ascii="仿宋" w:hAnsi="仿宋" w:eastAsia="仿宋" w:cs="Arial"/>
          <w:sz w:val="32"/>
          <w:szCs w:val="32"/>
        </w:rPr>
        <w:t>广告与运动员号码之间间隔为</w:t>
      </w:r>
      <w:r>
        <w:rPr>
          <w:rFonts w:hint="eastAsia" w:ascii="仿宋" w:hAnsi="仿宋" w:eastAsia="仿宋" w:cs="Arial"/>
          <w:sz w:val="32"/>
          <w:szCs w:val="32"/>
        </w:rPr>
        <w:t>4</w:t>
      </w:r>
      <w:r>
        <w:rPr>
          <w:rFonts w:ascii="仿宋" w:hAnsi="仿宋" w:eastAsia="仿宋" w:cs="Arial"/>
          <w:sz w:val="32"/>
          <w:szCs w:val="32"/>
        </w:rPr>
        <w:t>cm</w:t>
      </w:r>
      <w:r>
        <w:rPr>
          <w:rFonts w:ascii="仿宋" w:hAnsi="仿宋" w:eastAsia="仿宋" w:cs="Arial"/>
          <w:color w:val="000000" w:themeColor="text1"/>
          <w:sz w:val="32"/>
          <w:szCs w:val="32"/>
          <w14:textFill>
            <w14:solidFill>
              <w14:schemeClr w14:val="tx1"/>
            </w14:solidFill>
          </w14:textFill>
        </w:rPr>
        <w:t>（</w:t>
      </w:r>
      <w:r>
        <w:rPr>
          <w:rFonts w:hint="eastAsia" w:ascii="仿宋" w:hAnsi="仿宋" w:eastAsia="仿宋" w:cs="Arial"/>
          <w:color w:val="000000" w:themeColor="text1"/>
          <w:sz w:val="32"/>
          <w:szCs w:val="32"/>
          <w14:textFill>
            <w14:solidFill>
              <w14:schemeClr w14:val="tx1"/>
            </w14:solidFill>
          </w14:textFill>
        </w:rPr>
        <w:t>如赛事方另有规定，运动员姓名和球队广告可以对换位置，但必须全队统一）</w:t>
      </w:r>
      <w:r>
        <w:rPr>
          <w:rFonts w:ascii="仿宋" w:hAnsi="仿宋" w:eastAsia="仿宋" w:cs="Arial"/>
          <w:sz w:val="32"/>
          <w:szCs w:val="32"/>
        </w:rPr>
        <w:t>。</w:t>
      </w:r>
    </w:p>
    <w:p w14:paraId="326F0F0E">
      <w:pPr>
        <w:pStyle w:val="11"/>
        <w:spacing w:before="0" w:beforeAutospacing="0" w:after="0" w:afterAutospacing="0" w:line="560" w:lineRule="exact"/>
        <w:ind w:firstLine="640" w:firstLineChars="200"/>
        <w:jc w:val="both"/>
        <w:rPr>
          <w:rFonts w:ascii="仿宋" w:hAnsi="仿宋" w:eastAsia="仿宋" w:cs="Arial"/>
          <w:sz w:val="32"/>
          <w:szCs w:val="32"/>
        </w:rPr>
      </w:pPr>
      <w:r>
        <w:rPr>
          <w:rFonts w:ascii="仿宋" w:hAnsi="仿宋" w:eastAsia="仿宋" w:cs="Arial"/>
          <w:sz w:val="32"/>
          <w:szCs w:val="32"/>
        </w:rPr>
        <w:t>（</w:t>
      </w:r>
      <w:r>
        <w:rPr>
          <w:rFonts w:hint="eastAsia" w:ascii="仿宋" w:hAnsi="仿宋" w:eastAsia="仿宋" w:cs="Arial"/>
          <w:sz w:val="32"/>
          <w:szCs w:val="32"/>
        </w:rPr>
        <w:t>三</w:t>
      </w:r>
      <w:r>
        <w:rPr>
          <w:rFonts w:ascii="仿宋" w:hAnsi="仿宋" w:eastAsia="仿宋" w:cs="Arial"/>
          <w:sz w:val="32"/>
          <w:szCs w:val="32"/>
        </w:rPr>
        <w:t>）比赛短裤：装备品牌的商标</w:t>
      </w:r>
      <w:r>
        <w:rPr>
          <w:rFonts w:hint="eastAsia" w:ascii="仿宋" w:hAnsi="仿宋" w:eastAsia="仿宋" w:cs="Arial"/>
          <w:sz w:val="32"/>
          <w:szCs w:val="32"/>
        </w:rPr>
        <w:t>应</w:t>
      </w:r>
      <w:r>
        <w:rPr>
          <w:rFonts w:ascii="仿宋" w:hAnsi="仿宋" w:eastAsia="仿宋" w:cs="Arial"/>
          <w:sz w:val="32"/>
          <w:szCs w:val="32"/>
        </w:rPr>
        <w:t>出现在比赛短裤正面的右</w:t>
      </w:r>
      <w:r>
        <w:rPr>
          <w:rFonts w:hint="eastAsia" w:ascii="仿宋" w:hAnsi="仿宋" w:eastAsia="仿宋" w:cs="Arial"/>
          <w:sz w:val="32"/>
          <w:szCs w:val="32"/>
        </w:rPr>
        <w:t>上</w:t>
      </w:r>
      <w:r>
        <w:rPr>
          <w:rFonts w:ascii="仿宋" w:hAnsi="仿宋" w:eastAsia="仿宋" w:cs="Arial"/>
          <w:sz w:val="32"/>
          <w:szCs w:val="32"/>
        </w:rPr>
        <w:t>方，面积不大于</w:t>
      </w:r>
      <w:r>
        <w:rPr>
          <w:rFonts w:hint="eastAsia" w:ascii="仿宋" w:hAnsi="仿宋" w:eastAsia="仿宋" w:cs="Arial"/>
          <w:sz w:val="32"/>
          <w:szCs w:val="32"/>
        </w:rPr>
        <w:t>20cm</w:t>
      </w:r>
      <w:r>
        <w:rPr>
          <w:rFonts w:hint="eastAsia" w:ascii="仿宋" w:hAnsi="仿宋" w:eastAsia="仿宋" w:cs="Arial"/>
          <w:sz w:val="32"/>
          <w:szCs w:val="32"/>
          <w:vertAlign w:val="superscript"/>
        </w:rPr>
        <w:t>2</w:t>
      </w:r>
      <w:r>
        <w:rPr>
          <w:rFonts w:hint="eastAsia" w:ascii="仿宋" w:hAnsi="仿宋" w:eastAsia="仿宋" w:cs="Arial"/>
          <w:sz w:val="32"/>
          <w:szCs w:val="32"/>
        </w:rPr>
        <w:t>。球队广告（如有）可以出现在比赛短裤正面的右下方，面积不超过100cm</w:t>
      </w:r>
      <w:r>
        <w:rPr>
          <w:rFonts w:hint="eastAsia" w:ascii="仿宋" w:hAnsi="仿宋" w:eastAsia="仿宋" w:cs="Arial"/>
          <w:sz w:val="32"/>
          <w:szCs w:val="32"/>
          <w:vertAlign w:val="superscript"/>
        </w:rPr>
        <w:t>2</w:t>
      </w:r>
      <w:r>
        <w:rPr>
          <w:rFonts w:ascii="仿宋" w:hAnsi="仿宋" w:eastAsia="仿宋" w:cs="Arial"/>
          <w:color w:val="000000" w:themeColor="text1"/>
          <w:sz w:val="32"/>
          <w:szCs w:val="32"/>
          <w14:textFill>
            <w14:solidFill>
              <w14:schemeClr w14:val="tx1"/>
            </w14:solidFill>
          </w14:textFill>
        </w:rPr>
        <w:t>（</w:t>
      </w:r>
      <w:r>
        <w:rPr>
          <w:rFonts w:hint="eastAsia" w:ascii="仿宋" w:hAnsi="仿宋" w:eastAsia="仿宋" w:cs="Arial"/>
          <w:color w:val="000000" w:themeColor="text1"/>
          <w:sz w:val="32"/>
          <w:szCs w:val="32"/>
          <w14:textFill>
            <w14:solidFill>
              <w14:schemeClr w14:val="tx1"/>
            </w14:solidFill>
          </w14:textFill>
        </w:rPr>
        <w:t>左右位置可以相互对换，但必须全队统一）。</w:t>
      </w:r>
      <w:r>
        <w:rPr>
          <w:rFonts w:ascii="仿宋" w:hAnsi="仿宋" w:eastAsia="仿宋" w:cs="Arial"/>
          <w:sz w:val="32"/>
          <w:szCs w:val="32"/>
        </w:rPr>
        <w:t>比赛短裤的背面及侧面不允许出现任何广告、文字、商标（包括装备品牌商标）。</w:t>
      </w:r>
    </w:p>
    <w:p w14:paraId="4DB3F44E">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注：装备品牌商标、赛事标志、球队广告为可选，其它为必有。</w:t>
      </w:r>
    </w:p>
    <w:p w14:paraId="448950C1">
      <w:pPr>
        <w:pStyle w:val="11"/>
        <w:spacing w:before="0" w:beforeAutospacing="0" w:after="0" w:afterAutospacing="0" w:line="560" w:lineRule="exact"/>
        <w:ind w:firstLine="640" w:firstLineChars="200"/>
        <w:jc w:val="both"/>
        <w:rPr>
          <w:rFonts w:ascii="仿宋" w:hAnsi="仿宋" w:eastAsia="仿宋" w:cs="Arial"/>
          <w:sz w:val="32"/>
          <w:szCs w:val="32"/>
        </w:rPr>
      </w:pPr>
      <w:r>
        <w:rPr>
          <w:rFonts w:hint="eastAsia" w:ascii="仿宋" w:hAnsi="仿宋" w:eastAsia="仿宋" w:cs="Arial"/>
          <w:sz w:val="32"/>
          <w:szCs w:val="32"/>
        </w:rPr>
        <w:t xml:space="preserve">第十条 </w:t>
      </w:r>
      <w:r>
        <w:rPr>
          <w:rFonts w:ascii="仿宋" w:hAnsi="仿宋" w:eastAsia="仿宋" w:cs="Arial"/>
          <w:sz w:val="32"/>
          <w:szCs w:val="32"/>
        </w:rPr>
        <w:t>赛前联席会将检查比赛服，不合格者必须改正后方允许参加比赛</w:t>
      </w:r>
      <w:r>
        <w:rPr>
          <w:rFonts w:hint="eastAsia" w:ascii="仿宋" w:hAnsi="仿宋" w:eastAsia="仿宋" w:cs="Arial"/>
          <w:sz w:val="32"/>
          <w:szCs w:val="32"/>
        </w:rPr>
        <w:t>。</w:t>
      </w:r>
      <w:r>
        <w:rPr>
          <w:rFonts w:ascii="仿宋" w:hAnsi="仿宋" w:eastAsia="仿宋" w:cs="Arial"/>
          <w:sz w:val="32"/>
          <w:szCs w:val="32"/>
        </w:rPr>
        <w:t>紧身衣、紧身裤、各类护具（护肩、护肘、护膝）等其他装备</w:t>
      </w:r>
      <w:r>
        <w:rPr>
          <w:rFonts w:hint="eastAsia" w:ascii="仿宋" w:hAnsi="仿宋" w:eastAsia="仿宋" w:cs="Arial"/>
          <w:sz w:val="32"/>
          <w:szCs w:val="32"/>
        </w:rPr>
        <w:t>必须符合篮球规则，</w:t>
      </w:r>
      <w:r>
        <w:rPr>
          <w:rFonts w:ascii="仿宋" w:hAnsi="仿宋" w:eastAsia="仿宋" w:cs="Arial"/>
          <w:sz w:val="32"/>
          <w:szCs w:val="32"/>
        </w:rPr>
        <w:t>必须与比赛服颜色一致（或主队白色、客队黑色），</w:t>
      </w:r>
      <w:r>
        <w:rPr>
          <w:rFonts w:hint="eastAsia" w:ascii="仿宋" w:hAnsi="仿宋" w:eastAsia="仿宋" w:cs="Arial"/>
          <w:sz w:val="32"/>
          <w:szCs w:val="32"/>
        </w:rPr>
        <w:t>特制类护具</w:t>
      </w:r>
      <w:r>
        <w:rPr>
          <w:rFonts w:ascii="仿宋" w:hAnsi="仿宋" w:eastAsia="仿宋" w:cs="Arial"/>
          <w:sz w:val="32"/>
          <w:szCs w:val="32"/>
        </w:rPr>
        <w:t>必须在赛前联席会由队伍向技术代表提出申请，由技术代表进行检查，经批准后方允许穿戴。</w:t>
      </w:r>
    </w:p>
    <w:p w14:paraId="74B037A4">
      <w:pPr>
        <w:pStyle w:val="11"/>
        <w:spacing w:before="0" w:beforeAutospacing="0" w:after="0" w:afterAutospacing="0" w:line="560" w:lineRule="exact"/>
        <w:ind w:firstLine="640" w:firstLineChars="200"/>
        <w:jc w:val="both"/>
        <w:rPr>
          <w:rFonts w:ascii="仿宋" w:hAnsi="仿宋" w:eastAsia="仿宋" w:cs="Arial"/>
          <w:sz w:val="32"/>
          <w:szCs w:val="32"/>
        </w:rPr>
      </w:pPr>
    </w:p>
    <w:p w14:paraId="1702C032">
      <w:pPr>
        <w:widowControl/>
        <w:shd w:val="clear" w:color="auto" w:fill="FFFFFF"/>
        <w:spacing w:before="100" w:beforeAutospacing="1" w:after="100" w:afterAutospacing="1" w:line="202" w:lineRule="atLeast"/>
        <w:jc w:val="left"/>
        <w:rPr>
          <w:rFonts w:hint="eastAsia" w:ascii="Tahoma" w:hAnsi="Tahoma" w:cs="Tahoma" w:eastAsiaTheme="minorEastAsia"/>
          <w:sz w:val="13"/>
          <w:szCs w:val="13"/>
          <w:lang w:eastAsia="zh-CN"/>
        </w:rPr>
      </w:pPr>
      <w:r>
        <w:rPr>
          <w:rFonts w:ascii="宋体" w:hAnsi="宋体" w:cs="Tahoma"/>
          <w:sz w:val="30"/>
          <w:szCs w:val="30"/>
        </w:rPr>
        <w:t>　　</w:t>
      </w:r>
      <w:r>
        <w:rPr>
          <w:rFonts w:hint="eastAsia" w:ascii="Tahoma" w:hAnsi="Tahoma" w:cs="Tahoma" w:eastAsiaTheme="minorEastAsia"/>
          <w:sz w:val="13"/>
          <w:szCs w:val="13"/>
          <w:lang w:eastAsia="zh-CN"/>
        </w:rPr>
        <w:drawing>
          <wp:inline distT="0" distB="0" distL="114300" distR="114300">
            <wp:extent cx="5586730" cy="3397250"/>
            <wp:effectExtent l="0" t="0" r="13970" b="12700"/>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5"/>
                    <a:stretch>
                      <a:fillRect/>
                    </a:stretch>
                  </pic:blipFill>
                  <pic:spPr>
                    <a:xfrm>
                      <a:off x="0" y="0"/>
                      <a:ext cx="5586730" cy="3397250"/>
                    </a:xfrm>
                    <a:prstGeom prst="rect">
                      <a:avLst/>
                    </a:prstGeom>
                  </pic:spPr>
                </pic:pic>
              </a:graphicData>
            </a:graphic>
          </wp:inline>
        </w:drawing>
      </w:r>
    </w:p>
    <w:p w14:paraId="1D6C5280">
      <w:pPr>
        <w:widowControl/>
        <w:shd w:val="clear" w:color="auto" w:fill="FFFFFF"/>
        <w:spacing w:before="100" w:beforeAutospacing="1" w:after="100" w:afterAutospacing="1" w:line="202" w:lineRule="atLeast"/>
        <w:jc w:val="left"/>
        <w:rPr>
          <w:rFonts w:hint="eastAsia" w:ascii="Tahoma" w:hAnsi="Tahoma" w:cs="Tahoma" w:eastAsiaTheme="minorEastAsia"/>
          <w:sz w:val="13"/>
          <w:szCs w:val="13"/>
          <w:lang w:eastAsia="zh-CN"/>
        </w:rPr>
      </w:pPr>
      <w:r>
        <w:rPr>
          <w:rFonts w:hint="eastAsia" w:ascii="Tahoma" w:hAnsi="Tahoma" w:cs="Tahoma" w:eastAsiaTheme="minorEastAsia"/>
          <w:sz w:val="13"/>
          <w:szCs w:val="13"/>
          <w:lang w:eastAsia="zh-CN"/>
        </w:rPr>
        <w:drawing>
          <wp:inline distT="0" distB="0" distL="114300" distR="114300">
            <wp:extent cx="4983480" cy="3616325"/>
            <wp:effectExtent l="0" t="0" r="7620" b="3175"/>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pic:cNvPicPr>
                  </pic:nvPicPr>
                  <pic:blipFill>
                    <a:blip r:embed="rId6"/>
                    <a:stretch>
                      <a:fillRect/>
                    </a:stretch>
                  </pic:blipFill>
                  <pic:spPr>
                    <a:xfrm>
                      <a:off x="0" y="0"/>
                      <a:ext cx="4983480" cy="3616325"/>
                    </a:xfrm>
                    <a:prstGeom prst="rect">
                      <a:avLst/>
                    </a:prstGeom>
                  </pic:spPr>
                </pic:pic>
              </a:graphicData>
            </a:graphic>
          </wp:inline>
        </w:drawing>
      </w:r>
    </w:p>
    <w:p w14:paraId="4FFAA5DB">
      <w:pPr>
        <w:widowControl/>
        <w:shd w:val="clear" w:color="auto" w:fill="FFFFFF"/>
        <w:spacing w:before="100" w:beforeAutospacing="1" w:after="100" w:afterAutospacing="1" w:line="202" w:lineRule="atLeast"/>
        <w:jc w:val="left"/>
        <w:rPr>
          <w:rFonts w:hint="eastAsia" w:ascii="Tahoma" w:hAnsi="Tahoma" w:cs="Tahoma" w:eastAsiaTheme="minorEastAsia"/>
          <w:sz w:val="13"/>
          <w:szCs w:val="13"/>
          <w:lang w:eastAsia="zh-CN"/>
        </w:rPr>
      </w:pPr>
      <w:r>
        <w:rPr>
          <w:rFonts w:hint="eastAsia" w:ascii="Tahoma" w:hAnsi="Tahoma" w:cs="Tahoma" w:eastAsiaTheme="minorEastAsia"/>
          <w:sz w:val="13"/>
          <w:szCs w:val="13"/>
          <w:lang w:eastAsia="zh-CN"/>
        </w:rPr>
        <w:drawing>
          <wp:inline distT="0" distB="0" distL="114300" distR="114300">
            <wp:extent cx="5684520" cy="3020695"/>
            <wp:effectExtent l="0" t="0" r="11430" b="8255"/>
            <wp:docPr id="7" name="图片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
                    <pic:cNvPicPr>
                      <a:picLocks noChangeAspect="1"/>
                    </pic:cNvPicPr>
                  </pic:nvPicPr>
                  <pic:blipFill>
                    <a:blip r:embed="rId7"/>
                    <a:stretch>
                      <a:fillRect/>
                    </a:stretch>
                  </pic:blipFill>
                  <pic:spPr>
                    <a:xfrm>
                      <a:off x="0" y="0"/>
                      <a:ext cx="5684520" cy="3020695"/>
                    </a:xfrm>
                    <a:prstGeom prst="rect">
                      <a:avLst/>
                    </a:prstGeom>
                  </pic:spPr>
                </pic:pic>
              </a:graphicData>
            </a:graphic>
          </wp:inline>
        </w:drawing>
      </w:r>
    </w:p>
    <w:p w14:paraId="264D73AD">
      <w:pPr>
        <w:widowControl/>
        <w:jc w:val="center"/>
        <w:rPr>
          <w:rFonts w:ascii="宋体" w:hAnsi="宋体" w:eastAsia="宋体" w:cs="宋体"/>
          <w:sz w:val="30"/>
          <w:szCs w:val="30"/>
        </w:rPr>
      </w:pPr>
    </w:p>
    <w:p w14:paraId="29E74A5A">
      <w:pPr>
        <w:widowControl/>
        <w:jc w:val="center"/>
        <w:rPr>
          <w:rFonts w:ascii="宋体" w:hAnsi="宋体" w:eastAsia="宋体" w:cs="宋体"/>
          <w:sz w:val="24"/>
          <w:szCs w:val="24"/>
        </w:rPr>
      </w:pPr>
      <w:r>
        <w:rPr>
          <w:rFonts w:hint="eastAsia" w:ascii="宋体" w:hAnsi="宋体" w:eastAsia="宋体" w:cs="宋体"/>
          <w:sz w:val="30"/>
          <w:szCs w:val="30"/>
        </w:rPr>
        <w:t>注：</w:t>
      </w:r>
      <w:r>
        <w:rPr>
          <w:rFonts w:hint="eastAsia" w:ascii="宋体" w:hAnsi="宋体" w:eastAsia="宋体" w:cs="宋体"/>
          <w:sz w:val="24"/>
          <w:szCs w:val="24"/>
        </w:rPr>
        <w:t>号码</w:t>
      </w:r>
      <w:r>
        <w:rPr>
          <w:rFonts w:hint="eastAsia" w:ascii="宋体" w:hAnsi="宋体" w:eastAsia="宋体" w:cs="宋体"/>
          <w:sz w:val="24"/>
          <w:szCs w:val="24"/>
          <w:lang w:val="en-US" w:eastAsia="zh-CN"/>
        </w:rPr>
        <w:t>等将</w:t>
      </w:r>
      <w:r>
        <w:rPr>
          <w:rFonts w:hint="eastAsia" w:ascii="宋体" w:hAnsi="宋体" w:eastAsia="宋体" w:cs="宋体"/>
          <w:sz w:val="24"/>
          <w:szCs w:val="24"/>
        </w:rPr>
        <w:t>根据国际篮联最新规则做调整</w:t>
      </w:r>
    </w:p>
    <w:p w14:paraId="31A19BE5">
      <w:pPr>
        <w:spacing w:line="360" w:lineRule="auto"/>
        <w:rPr>
          <w:rFonts w:ascii="华文中宋" w:hAnsi="华文中宋" w:eastAsia="华文中宋" w:cstheme="majorEastAsia"/>
          <w:b/>
          <w:sz w:val="36"/>
          <w:szCs w:val="32"/>
        </w:rPr>
      </w:pPr>
    </w:p>
    <w:p w14:paraId="56093270">
      <w:pPr>
        <w:spacing w:line="360" w:lineRule="auto"/>
        <w:rPr>
          <w:rFonts w:ascii="华文中宋" w:hAnsi="华文中宋" w:eastAsia="华文中宋" w:cstheme="majorEastAsia"/>
          <w:b/>
          <w:sz w:val="36"/>
          <w:szCs w:val="32"/>
        </w:rPr>
      </w:pPr>
      <w:r>
        <w:rPr>
          <w:rFonts w:hint="eastAsia" w:ascii="华文中宋" w:hAnsi="华文中宋" w:eastAsia="华文中宋" w:cstheme="majorEastAsia"/>
          <w:b/>
          <w:sz w:val="36"/>
          <w:szCs w:val="32"/>
        </w:rPr>
        <w:t>附件5</w:t>
      </w:r>
    </w:p>
    <w:p w14:paraId="277B1D8D">
      <w:pPr>
        <w:spacing w:line="360" w:lineRule="auto"/>
        <w:jc w:val="center"/>
        <w:rPr>
          <w:rFonts w:ascii="华文中宋" w:hAnsi="华文中宋" w:eastAsia="华文中宋" w:cstheme="majorEastAsia"/>
          <w:b/>
          <w:sz w:val="36"/>
          <w:szCs w:val="32"/>
        </w:rPr>
      </w:pPr>
      <w:r>
        <w:rPr>
          <w:rFonts w:hint="eastAsia" w:ascii="华文中宋" w:hAnsi="华文中宋" w:eastAsia="华文中宋" w:cstheme="majorEastAsia"/>
          <w:b/>
          <w:sz w:val="36"/>
          <w:szCs w:val="32"/>
        </w:rPr>
        <w:t>XX 篮球 赛  参赛球队报名表</w:t>
      </w:r>
    </w:p>
    <w:p w14:paraId="1C24A4BD">
      <w:pPr>
        <w:pStyle w:val="3"/>
      </w:pPr>
      <w:r>
        <w:rPr>
          <w:b/>
          <w:sz w:val="44"/>
          <w:szCs w:val="20"/>
        </w:rPr>
        <mc:AlternateContent>
          <mc:Choice Requires="wps">
            <w:drawing>
              <wp:anchor distT="0" distB="0" distL="114300" distR="114300" simplePos="0" relativeHeight="251659264" behindDoc="0" locked="0" layoutInCell="1" allowOverlap="1">
                <wp:simplePos x="0" y="0"/>
                <wp:positionH relativeFrom="column">
                  <wp:posOffset>3743325</wp:posOffset>
                </wp:positionH>
                <wp:positionV relativeFrom="paragraph">
                  <wp:posOffset>213995</wp:posOffset>
                </wp:positionV>
                <wp:extent cx="1422400" cy="260350"/>
                <wp:effectExtent l="9525" t="9525" r="15875" b="15875"/>
                <wp:wrapNone/>
                <wp:docPr id="10"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422400" cy="260350"/>
                        </a:xfrm>
                        <a:prstGeom prst="rect">
                          <a:avLst/>
                        </a:prstGeom>
                        <a:solidFill>
                          <a:srgbClr val="FFFFFF"/>
                        </a:solidFill>
                        <a:ln w="19050" cmpd="sng">
                          <a:solidFill>
                            <a:srgbClr val="000000"/>
                          </a:solidFill>
                          <a:miter lim="800000"/>
                        </a:ln>
                      </wps:spPr>
                      <wps:txbx>
                        <w:txbxContent>
                          <w:p w14:paraId="1F3F851C">
                            <w:pPr>
                              <w:spacing w:line="240" w:lineRule="exact"/>
                              <w:rPr>
                                <w:rFonts w:eastAsia="仿宋_GB2312"/>
                                <w:b/>
                              </w:rPr>
                            </w:pPr>
                            <w:r>
                              <w:rPr>
                                <w:rFonts w:hint="eastAsia" w:eastAsia="仿宋_GB2312"/>
                                <w:b/>
                                <w:snapToGrid w:val="0"/>
                                <w:sz w:val="24"/>
                              </w:rPr>
                              <w:t>1 球员报名表</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94.75pt;margin-top:16.85pt;height:20.5pt;width:112pt;z-index:251659264;mso-width-relative:page;mso-height-relative:page;" fillcolor="#FFFFFF" filled="t" stroked="t" coordsize="21600,21600" o:gfxdata="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N1c7UtUAAAAJAQAADwAAAAAAAAABACAAAAAi&#10;AAAAZHJzL2Rvd25yZXYueG1sUEsBAhQAFAAAAAgAh07iQE3JUTxGAgAAlQQAAA4AAAAAAAAAAQAg&#10;AAAAJAEAAGRycy9lMm9Eb2MueG1sUEsFBgAAAAAGAAYAWQEAANwFAAAAAA==&#10;">
                <v:fill on="t" focussize="0,0"/>
                <v:stroke weight="1.5pt" color="#000000" miterlimit="8" joinstyle="miter"/>
                <v:imagedata o:title=""/>
                <o:lock v:ext="edit" aspectratio="f"/>
                <v:textbox>
                  <w:txbxContent>
                    <w:p w14:paraId="1F3F851C">
                      <w:pPr>
                        <w:spacing w:line="240" w:lineRule="exact"/>
                        <w:rPr>
                          <w:rFonts w:eastAsia="仿宋_GB2312"/>
                          <w:b/>
                        </w:rPr>
                      </w:pPr>
                      <w:r>
                        <w:rPr>
                          <w:rFonts w:hint="eastAsia" w:eastAsia="仿宋_GB2312"/>
                          <w:b/>
                          <w:snapToGrid w:val="0"/>
                          <w:sz w:val="24"/>
                        </w:rPr>
                        <w:t>1 球员报名表</w:t>
                      </w:r>
                    </w:p>
                  </w:txbxContent>
                </v:textbox>
              </v:shape>
            </w:pict>
          </mc:Fallback>
        </mc:AlternateContent>
      </w:r>
    </w:p>
    <w:p w14:paraId="30BBFB16">
      <w:pPr>
        <w:adjustRightInd w:val="0"/>
        <w:rPr>
          <w:rFonts w:ascii="Times New Roman" w:cs="Times New Roman"/>
          <w:b/>
          <w:sz w:val="44"/>
          <w:szCs w:val="20"/>
        </w:rPr>
      </w:pPr>
      <w:r>
        <w:rPr>
          <w:rFonts w:hint="eastAsia" w:ascii="Times New Roman" w:cs="Times New Roman"/>
          <w:b/>
          <w:szCs w:val="20"/>
        </w:rPr>
        <w:t xml:space="preserve">男子  </w:t>
      </w:r>
      <w:r>
        <w:rPr>
          <w:rFonts w:hint="eastAsia" w:ascii="Times New Roman" w:cs="Times New Roman"/>
          <w:b/>
          <w:szCs w:val="20"/>
        </w:rPr>
        <w:sym w:font="Wingdings 2" w:char="00A3"/>
      </w:r>
      <w:r>
        <w:rPr>
          <w:rFonts w:hint="eastAsia" w:ascii="Times New Roman" w:cs="Times New Roman"/>
          <w:b/>
          <w:szCs w:val="20"/>
        </w:rPr>
        <w:t xml:space="preserve">     女子  </w:t>
      </w:r>
      <w:r>
        <w:rPr>
          <w:rFonts w:hint="eastAsia" w:ascii="Times New Roman" w:cs="Times New Roman"/>
          <w:b/>
          <w:szCs w:val="20"/>
        </w:rPr>
        <w:sym w:font="Wingdings 2" w:char="00A3"/>
      </w:r>
    </w:p>
    <w:p w14:paraId="38E885D2">
      <w:pPr>
        <w:adjustRightInd w:val="0"/>
        <w:rPr>
          <w:rFonts w:ascii="Times New Roman" w:cs="Times New Roman"/>
          <w:sz w:val="24"/>
          <w:szCs w:val="20"/>
        </w:rPr>
      </w:pPr>
      <w:r>
        <w:rPr>
          <w:rFonts w:hint="eastAsia" w:ascii="Times New Roman" w:cs="Times New Roman"/>
          <w:b/>
          <w:sz w:val="32"/>
          <w:szCs w:val="32"/>
        </w:rPr>
        <w:t xml:space="preserve">球队名称：     </w:t>
      </w:r>
      <w:r>
        <w:rPr>
          <w:rFonts w:hint="eastAsia" w:ascii="Times New Roman" w:cs="Times New Roman"/>
          <w:b/>
          <w:szCs w:val="20"/>
        </w:rPr>
        <w:t xml:space="preserve">                     </w:t>
      </w:r>
      <w:r>
        <w:rPr>
          <w:rFonts w:hint="eastAsia" w:ascii="Times New Roman" w:cs="Times New Roman"/>
          <w:b/>
          <w:sz w:val="32"/>
          <w:szCs w:val="32"/>
        </w:rPr>
        <w:t xml:space="preserve">    简称：   </w:t>
      </w:r>
      <w:r>
        <w:rPr>
          <w:rFonts w:hint="eastAsia" w:ascii="Times New Roman" w:cs="Times New Roman"/>
          <w:b/>
          <w:szCs w:val="20"/>
        </w:rPr>
        <w:t xml:space="preserve">                 </w:t>
      </w:r>
    </w:p>
    <w:tbl>
      <w:tblPr>
        <w:tblStyle w:val="13"/>
        <w:tblW w:w="9853"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85" w:type="dxa"/>
          <w:bottom w:w="0" w:type="dxa"/>
          <w:right w:w="85" w:type="dxa"/>
        </w:tblCellMar>
      </w:tblPr>
      <w:tblGrid>
        <w:gridCol w:w="637"/>
        <w:gridCol w:w="1120"/>
        <w:gridCol w:w="1175"/>
        <w:gridCol w:w="940"/>
        <w:gridCol w:w="940"/>
        <w:gridCol w:w="968"/>
        <w:gridCol w:w="3353"/>
        <w:gridCol w:w="720"/>
      </w:tblGrid>
      <w:tr w14:paraId="2763B46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462" w:hRule="atLeast"/>
          <w:jc w:val="center"/>
        </w:trPr>
        <w:tc>
          <w:tcPr>
            <w:tcW w:w="637" w:type="dxa"/>
            <w:vMerge w:val="restart"/>
            <w:tcBorders>
              <w:top w:val="double" w:color="auto" w:sz="6" w:space="0"/>
              <w:left w:val="double" w:color="auto" w:sz="6" w:space="0"/>
            </w:tcBorders>
            <w:vAlign w:val="center"/>
          </w:tcPr>
          <w:p w14:paraId="340F5B52">
            <w:pPr>
              <w:adjustRightInd w:val="0"/>
              <w:jc w:val="center"/>
              <w:rPr>
                <w:rFonts w:ascii="Times New Roman" w:cs="Times New Roman"/>
                <w:b/>
                <w:szCs w:val="20"/>
              </w:rPr>
            </w:pPr>
            <w:r>
              <w:rPr>
                <w:rFonts w:hint="eastAsia" w:ascii="Times New Roman" w:cs="Times New Roman"/>
                <w:b/>
                <w:szCs w:val="20"/>
              </w:rPr>
              <w:t>号码</w:t>
            </w:r>
          </w:p>
        </w:tc>
        <w:tc>
          <w:tcPr>
            <w:tcW w:w="1120" w:type="dxa"/>
            <w:vMerge w:val="restart"/>
            <w:tcBorders>
              <w:top w:val="double" w:color="auto" w:sz="6" w:space="0"/>
              <w:bottom w:val="single" w:color="auto" w:sz="8" w:space="0"/>
            </w:tcBorders>
            <w:vAlign w:val="center"/>
          </w:tcPr>
          <w:p w14:paraId="7BBDE56F">
            <w:pPr>
              <w:adjustRightInd w:val="0"/>
              <w:jc w:val="center"/>
              <w:rPr>
                <w:rFonts w:ascii="Times New Roman" w:cs="Times New Roman"/>
                <w:b/>
                <w:szCs w:val="28"/>
              </w:rPr>
            </w:pPr>
            <w:r>
              <w:rPr>
                <w:rFonts w:hint="eastAsia" w:ascii="Times New Roman" w:cs="Times New Roman"/>
                <w:b/>
                <w:szCs w:val="28"/>
              </w:rPr>
              <w:t>球  员</w:t>
            </w:r>
          </w:p>
          <w:p w14:paraId="2317806E">
            <w:pPr>
              <w:adjustRightInd w:val="0"/>
              <w:spacing w:line="240" w:lineRule="atLeast"/>
              <w:jc w:val="center"/>
              <w:rPr>
                <w:rFonts w:ascii="Times New Roman" w:cs="Times New Roman"/>
                <w:b/>
                <w:sz w:val="24"/>
                <w:szCs w:val="20"/>
              </w:rPr>
            </w:pPr>
            <w:r>
              <w:rPr>
                <w:rFonts w:hint="eastAsia" w:ascii="Times New Roman" w:cs="Times New Roman"/>
                <w:b/>
                <w:szCs w:val="28"/>
              </w:rPr>
              <w:t>姓  名</w:t>
            </w:r>
          </w:p>
        </w:tc>
        <w:tc>
          <w:tcPr>
            <w:tcW w:w="3055" w:type="dxa"/>
            <w:gridSpan w:val="3"/>
            <w:tcBorders>
              <w:top w:val="double" w:color="auto" w:sz="6" w:space="0"/>
              <w:bottom w:val="single" w:color="auto" w:sz="8" w:space="0"/>
            </w:tcBorders>
            <w:vAlign w:val="center"/>
          </w:tcPr>
          <w:p w14:paraId="18A555BF">
            <w:pPr>
              <w:adjustRightInd w:val="0"/>
              <w:jc w:val="center"/>
              <w:rPr>
                <w:rFonts w:ascii="Times New Roman" w:cs="Times New Roman"/>
                <w:b/>
                <w:szCs w:val="20"/>
              </w:rPr>
            </w:pPr>
            <w:r>
              <w:rPr>
                <w:rFonts w:hint="eastAsia" w:ascii="Times New Roman" w:cs="Times New Roman"/>
                <w:b/>
                <w:szCs w:val="20"/>
              </w:rPr>
              <w:t>个人信息</w:t>
            </w:r>
          </w:p>
        </w:tc>
        <w:tc>
          <w:tcPr>
            <w:tcW w:w="968" w:type="dxa"/>
            <w:vMerge w:val="restart"/>
            <w:tcBorders>
              <w:top w:val="double" w:color="auto" w:sz="6" w:space="0"/>
              <w:right w:val="single" w:color="auto" w:sz="4" w:space="0"/>
            </w:tcBorders>
            <w:vAlign w:val="center"/>
          </w:tcPr>
          <w:p w14:paraId="209DC7F4">
            <w:pPr>
              <w:adjustRightInd w:val="0"/>
              <w:jc w:val="center"/>
              <w:rPr>
                <w:rFonts w:ascii="Times New Roman" w:cs="Times New Roman"/>
                <w:b/>
                <w:szCs w:val="21"/>
              </w:rPr>
            </w:pPr>
            <w:r>
              <w:rPr>
                <w:rFonts w:hint="eastAsia" w:ascii="Times New Roman" w:cs="Times New Roman"/>
                <w:b/>
                <w:szCs w:val="28"/>
              </w:rPr>
              <w:t>位置</w:t>
            </w:r>
          </w:p>
        </w:tc>
        <w:tc>
          <w:tcPr>
            <w:tcW w:w="3353" w:type="dxa"/>
            <w:vMerge w:val="restart"/>
            <w:tcBorders>
              <w:top w:val="double" w:color="auto" w:sz="6" w:space="0"/>
              <w:left w:val="single" w:color="auto" w:sz="4" w:space="0"/>
            </w:tcBorders>
            <w:vAlign w:val="center"/>
          </w:tcPr>
          <w:p w14:paraId="2BE56772">
            <w:pPr>
              <w:adjustRightInd w:val="0"/>
              <w:jc w:val="center"/>
              <w:rPr>
                <w:rFonts w:ascii="Times New Roman" w:cs="Times New Roman"/>
                <w:b/>
                <w:szCs w:val="20"/>
              </w:rPr>
            </w:pPr>
            <w:r>
              <w:rPr>
                <w:rFonts w:hint="eastAsia" w:ascii="Times New Roman" w:cs="Times New Roman"/>
                <w:b/>
                <w:szCs w:val="20"/>
              </w:rPr>
              <w:t>身份证号码</w:t>
            </w:r>
          </w:p>
        </w:tc>
        <w:tc>
          <w:tcPr>
            <w:tcW w:w="720" w:type="dxa"/>
            <w:vMerge w:val="restart"/>
            <w:tcBorders>
              <w:top w:val="double" w:color="auto" w:sz="6" w:space="0"/>
              <w:left w:val="single" w:color="auto" w:sz="4" w:space="0"/>
            </w:tcBorders>
            <w:vAlign w:val="center"/>
          </w:tcPr>
          <w:p w14:paraId="4B866B65">
            <w:pPr>
              <w:adjustRightInd w:val="0"/>
              <w:jc w:val="center"/>
              <w:rPr>
                <w:rFonts w:ascii="Times New Roman" w:eastAsia="宋体" w:cs="Times New Roman"/>
                <w:b/>
                <w:szCs w:val="20"/>
              </w:rPr>
            </w:pPr>
            <w:r>
              <w:rPr>
                <w:rFonts w:hint="eastAsia" w:ascii="Times New Roman" w:cs="Times New Roman"/>
                <w:b/>
                <w:szCs w:val="20"/>
              </w:rPr>
              <w:t>备注</w:t>
            </w:r>
          </w:p>
        </w:tc>
      </w:tr>
      <w:tr w14:paraId="3E2F4AB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34" w:hRule="atLeast"/>
          <w:jc w:val="center"/>
        </w:trPr>
        <w:tc>
          <w:tcPr>
            <w:tcW w:w="637" w:type="dxa"/>
            <w:vMerge w:val="continue"/>
            <w:tcBorders>
              <w:left w:val="double" w:color="auto" w:sz="6" w:space="0"/>
              <w:bottom w:val="nil"/>
            </w:tcBorders>
            <w:vAlign w:val="center"/>
          </w:tcPr>
          <w:p w14:paraId="22961C24">
            <w:pPr>
              <w:adjustRightInd w:val="0"/>
              <w:jc w:val="center"/>
              <w:rPr>
                <w:rFonts w:ascii="Times New Roman" w:cs="Times New Roman"/>
                <w:b/>
                <w:szCs w:val="20"/>
              </w:rPr>
            </w:pPr>
          </w:p>
        </w:tc>
        <w:tc>
          <w:tcPr>
            <w:tcW w:w="1120" w:type="dxa"/>
            <w:vMerge w:val="continue"/>
            <w:tcBorders>
              <w:top w:val="single" w:color="auto" w:sz="8" w:space="0"/>
              <w:bottom w:val="nil"/>
            </w:tcBorders>
            <w:vAlign w:val="center"/>
          </w:tcPr>
          <w:p w14:paraId="1A4885A6">
            <w:pPr>
              <w:adjustRightInd w:val="0"/>
              <w:jc w:val="center"/>
              <w:rPr>
                <w:rFonts w:ascii="Times New Roman" w:cs="Times New Roman"/>
                <w:b/>
                <w:sz w:val="24"/>
                <w:szCs w:val="20"/>
              </w:rPr>
            </w:pPr>
          </w:p>
        </w:tc>
        <w:tc>
          <w:tcPr>
            <w:tcW w:w="1175" w:type="dxa"/>
            <w:tcBorders>
              <w:top w:val="single" w:color="auto" w:sz="8" w:space="0"/>
              <w:bottom w:val="nil"/>
            </w:tcBorders>
            <w:vAlign w:val="center"/>
          </w:tcPr>
          <w:p w14:paraId="06A848D3">
            <w:pPr>
              <w:adjustRightInd w:val="0"/>
              <w:jc w:val="center"/>
              <w:rPr>
                <w:rFonts w:ascii="Times New Roman" w:cs="Times New Roman"/>
                <w:b/>
                <w:szCs w:val="20"/>
              </w:rPr>
            </w:pPr>
            <w:r>
              <w:rPr>
                <w:rFonts w:hint="eastAsia" w:ascii="Times New Roman" w:cs="Times New Roman"/>
                <w:b/>
                <w:szCs w:val="20"/>
              </w:rPr>
              <w:t>出生日期</w:t>
            </w:r>
          </w:p>
          <w:p w14:paraId="47740314">
            <w:pPr>
              <w:adjustRightInd w:val="0"/>
              <w:jc w:val="center"/>
              <w:rPr>
                <w:rFonts w:ascii="Times New Roman" w:cs="Times New Roman"/>
                <w:b/>
                <w:sz w:val="18"/>
                <w:szCs w:val="18"/>
              </w:rPr>
            </w:pPr>
            <w:r>
              <w:rPr>
                <w:rFonts w:hint="eastAsia" w:ascii="Times New Roman" w:cs="Times New Roman"/>
                <w:b/>
                <w:sz w:val="18"/>
                <w:szCs w:val="18"/>
              </w:rPr>
              <w:t>年、月、日</w:t>
            </w:r>
          </w:p>
        </w:tc>
        <w:tc>
          <w:tcPr>
            <w:tcW w:w="940" w:type="dxa"/>
            <w:tcBorders>
              <w:top w:val="single" w:color="auto" w:sz="8" w:space="0"/>
              <w:bottom w:val="nil"/>
            </w:tcBorders>
            <w:vAlign w:val="center"/>
          </w:tcPr>
          <w:p w14:paraId="37246DE8">
            <w:pPr>
              <w:adjustRightInd w:val="0"/>
              <w:jc w:val="center"/>
              <w:rPr>
                <w:rFonts w:ascii="Times New Roman" w:cs="Times New Roman"/>
                <w:b/>
                <w:szCs w:val="20"/>
              </w:rPr>
            </w:pPr>
            <w:r>
              <w:rPr>
                <w:rFonts w:hint="eastAsia" w:ascii="Times New Roman" w:cs="Times New Roman"/>
                <w:b/>
                <w:szCs w:val="20"/>
              </w:rPr>
              <w:t>体重</w:t>
            </w:r>
          </w:p>
          <w:p w14:paraId="31AC4B70">
            <w:pPr>
              <w:adjustRightInd w:val="0"/>
              <w:jc w:val="center"/>
              <w:rPr>
                <w:rFonts w:ascii="Times New Roman" w:cs="Times New Roman"/>
                <w:b/>
                <w:szCs w:val="20"/>
              </w:rPr>
            </w:pPr>
            <w:r>
              <w:rPr>
                <w:rFonts w:hint="eastAsia" w:ascii="Times New Roman" w:cs="Times New Roman"/>
                <w:b/>
                <w:szCs w:val="20"/>
              </w:rPr>
              <w:t>(kg)</w:t>
            </w:r>
          </w:p>
        </w:tc>
        <w:tc>
          <w:tcPr>
            <w:tcW w:w="940" w:type="dxa"/>
            <w:tcBorders>
              <w:top w:val="single" w:color="auto" w:sz="8" w:space="0"/>
              <w:bottom w:val="nil"/>
            </w:tcBorders>
            <w:vAlign w:val="center"/>
          </w:tcPr>
          <w:p w14:paraId="64E9E6FB">
            <w:pPr>
              <w:adjustRightInd w:val="0"/>
              <w:jc w:val="center"/>
              <w:rPr>
                <w:rFonts w:ascii="Times New Roman" w:cs="Times New Roman"/>
                <w:b/>
                <w:szCs w:val="20"/>
              </w:rPr>
            </w:pPr>
            <w:r>
              <w:rPr>
                <w:rFonts w:hint="eastAsia" w:ascii="Times New Roman" w:cs="Times New Roman"/>
                <w:b/>
                <w:szCs w:val="20"/>
              </w:rPr>
              <w:t>身高</w:t>
            </w:r>
          </w:p>
          <w:p w14:paraId="35DD1A28">
            <w:pPr>
              <w:adjustRightInd w:val="0"/>
              <w:jc w:val="center"/>
              <w:rPr>
                <w:rFonts w:ascii="Times New Roman" w:cs="Times New Roman"/>
                <w:b/>
                <w:szCs w:val="20"/>
              </w:rPr>
            </w:pPr>
            <w:r>
              <w:rPr>
                <w:rFonts w:hint="eastAsia" w:ascii="Times New Roman" w:cs="Times New Roman"/>
                <w:b/>
                <w:szCs w:val="20"/>
              </w:rPr>
              <w:t>(cm)</w:t>
            </w:r>
          </w:p>
        </w:tc>
        <w:tc>
          <w:tcPr>
            <w:tcW w:w="968" w:type="dxa"/>
            <w:vMerge w:val="continue"/>
            <w:tcBorders>
              <w:bottom w:val="nil"/>
              <w:right w:val="single" w:color="auto" w:sz="4" w:space="0"/>
            </w:tcBorders>
            <w:vAlign w:val="center"/>
          </w:tcPr>
          <w:p w14:paraId="00FAA128">
            <w:pPr>
              <w:adjustRightInd w:val="0"/>
              <w:jc w:val="center"/>
              <w:rPr>
                <w:rFonts w:ascii="Times New Roman" w:cs="Times New Roman"/>
                <w:b/>
                <w:szCs w:val="20"/>
              </w:rPr>
            </w:pPr>
          </w:p>
        </w:tc>
        <w:tc>
          <w:tcPr>
            <w:tcW w:w="3353" w:type="dxa"/>
            <w:vMerge w:val="continue"/>
            <w:tcBorders>
              <w:left w:val="single" w:color="auto" w:sz="4" w:space="0"/>
              <w:bottom w:val="nil"/>
            </w:tcBorders>
            <w:vAlign w:val="center"/>
          </w:tcPr>
          <w:p w14:paraId="6251573D">
            <w:pPr>
              <w:adjustRightInd w:val="0"/>
              <w:jc w:val="center"/>
              <w:rPr>
                <w:rFonts w:ascii="Times New Roman" w:cs="Times New Roman"/>
                <w:b/>
                <w:szCs w:val="20"/>
              </w:rPr>
            </w:pPr>
          </w:p>
        </w:tc>
        <w:tc>
          <w:tcPr>
            <w:tcW w:w="720" w:type="dxa"/>
            <w:vMerge w:val="continue"/>
            <w:tcBorders>
              <w:left w:val="single" w:color="auto" w:sz="4" w:space="0"/>
              <w:bottom w:val="nil"/>
            </w:tcBorders>
            <w:vAlign w:val="center"/>
          </w:tcPr>
          <w:p w14:paraId="70F18B16">
            <w:pPr>
              <w:adjustRightInd w:val="0"/>
              <w:jc w:val="center"/>
              <w:rPr>
                <w:rFonts w:ascii="Times New Roman" w:cs="Times New Roman"/>
                <w:b/>
                <w:szCs w:val="20"/>
              </w:rPr>
            </w:pPr>
          </w:p>
        </w:tc>
      </w:tr>
      <w:tr w14:paraId="5017D5D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64" w:hRule="atLeast"/>
          <w:jc w:val="center"/>
        </w:trPr>
        <w:tc>
          <w:tcPr>
            <w:tcW w:w="637" w:type="dxa"/>
            <w:tcBorders>
              <w:top w:val="single" w:color="auto" w:sz="12" w:space="0"/>
              <w:left w:val="double" w:color="auto" w:sz="6" w:space="0"/>
              <w:bottom w:val="single" w:color="auto" w:sz="8" w:space="0"/>
            </w:tcBorders>
            <w:vAlign w:val="center"/>
          </w:tcPr>
          <w:p w14:paraId="221EF511">
            <w:pPr>
              <w:adjustRightInd w:val="0"/>
              <w:jc w:val="center"/>
              <w:rPr>
                <w:rFonts w:ascii="Times New Roman" w:cs="Times New Roman"/>
                <w:b/>
                <w:szCs w:val="20"/>
              </w:rPr>
            </w:pPr>
          </w:p>
        </w:tc>
        <w:tc>
          <w:tcPr>
            <w:tcW w:w="1120" w:type="dxa"/>
            <w:tcBorders>
              <w:top w:val="single" w:color="auto" w:sz="12" w:space="0"/>
              <w:bottom w:val="single" w:color="auto" w:sz="8" w:space="0"/>
              <w:right w:val="single" w:color="auto" w:sz="4" w:space="0"/>
            </w:tcBorders>
          </w:tcPr>
          <w:p w14:paraId="572D40EE">
            <w:pPr>
              <w:adjustRightInd w:val="0"/>
              <w:jc w:val="center"/>
              <w:rPr>
                <w:rFonts w:ascii="Times New Roman" w:cs="Times New Roman"/>
                <w:b/>
                <w:sz w:val="24"/>
                <w:szCs w:val="20"/>
              </w:rPr>
            </w:pPr>
          </w:p>
        </w:tc>
        <w:tc>
          <w:tcPr>
            <w:tcW w:w="1175" w:type="dxa"/>
            <w:tcBorders>
              <w:top w:val="single" w:color="auto" w:sz="12" w:space="0"/>
              <w:bottom w:val="single" w:color="auto" w:sz="8" w:space="0"/>
            </w:tcBorders>
          </w:tcPr>
          <w:p w14:paraId="5F8AC8CA">
            <w:pPr>
              <w:adjustRightInd w:val="0"/>
              <w:jc w:val="center"/>
              <w:rPr>
                <w:rFonts w:ascii="Times New Roman" w:cs="Times New Roman"/>
                <w:b/>
                <w:sz w:val="24"/>
                <w:szCs w:val="20"/>
              </w:rPr>
            </w:pPr>
          </w:p>
        </w:tc>
        <w:tc>
          <w:tcPr>
            <w:tcW w:w="940" w:type="dxa"/>
            <w:tcBorders>
              <w:top w:val="single" w:color="auto" w:sz="12" w:space="0"/>
              <w:bottom w:val="single" w:color="auto" w:sz="8" w:space="0"/>
            </w:tcBorders>
          </w:tcPr>
          <w:p w14:paraId="0533899B">
            <w:pPr>
              <w:adjustRightInd w:val="0"/>
              <w:jc w:val="center"/>
              <w:rPr>
                <w:rFonts w:ascii="Times New Roman" w:cs="Times New Roman"/>
                <w:b/>
                <w:sz w:val="24"/>
                <w:szCs w:val="20"/>
              </w:rPr>
            </w:pPr>
          </w:p>
        </w:tc>
        <w:tc>
          <w:tcPr>
            <w:tcW w:w="940" w:type="dxa"/>
            <w:tcBorders>
              <w:top w:val="single" w:color="auto" w:sz="12" w:space="0"/>
              <w:bottom w:val="single" w:color="auto" w:sz="8" w:space="0"/>
            </w:tcBorders>
          </w:tcPr>
          <w:p w14:paraId="2B7B7E4A">
            <w:pPr>
              <w:adjustRightInd w:val="0"/>
              <w:jc w:val="center"/>
              <w:rPr>
                <w:rFonts w:ascii="Times New Roman" w:cs="Times New Roman"/>
                <w:b/>
                <w:sz w:val="24"/>
                <w:szCs w:val="20"/>
              </w:rPr>
            </w:pPr>
          </w:p>
        </w:tc>
        <w:tc>
          <w:tcPr>
            <w:tcW w:w="968" w:type="dxa"/>
            <w:tcBorders>
              <w:top w:val="single" w:color="auto" w:sz="12" w:space="0"/>
              <w:bottom w:val="single" w:color="auto" w:sz="8" w:space="0"/>
              <w:right w:val="single" w:color="auto" w:sz="4" w:space="0"/>
            </w:tcBorders>
          </w:tcPr>
          <w:p w14:paraId="42EECC28">
            <w:pPr>
              <w:adjustRightInd w:val="0"/>
              <w:jc w:val="center"/>
              <w:rPr>
                <w:rFonts w:ascii="Times New Roman" w:cs="Times New Roman"/>
                <w:b/>
                <w:sz w:val="24"/>
                <w:szCs w:val="20"/>
              </w:rPr>
            </w:pPr>
          </w:p>
        </w:tc>
        <w:tc>
          <w:tcPr>
            <w:tcW w:w="3353" w:type="dxa"/>
            <w:tcBorders>
              <w:top w:val="single" w:color="auto" w:sz="12" w:space="0"/>
              <w:left w:val="single" w:color="auto" w:sz="4" w:space="0"/>
              <w:bottom w:val="single" w:color="auto" w:sz="8" w:space="0"/>
            </w:tcBorders>
          </w:tcPr>
          <w:p w14:paraId="4DF83D5E">
            <w:pPr>
              <w:adjustRightInd w:val="0"/>
              <w:jc w:val="center"/>
              <w:rPr>
                <w:rFonts w:ascii="Times New Roman" w:cs="Times New Roman"/>
                <w:b/>
                <w:sz w:val="24"/>
                <w:szCs w:val="20"/>
              </w:rPr>
            </w:pPr>
          </w:p>
        </w:tc>
        <w:tc>
          <w:tcPr>
            <w:tcW w:w="720" w:type="dxa"/>
            <w:tcBorders>
              <w:top w:val="single" w:color="auto" w:sz="12" w:space="0"/>
              <w:left w:val="single" w:color="auto" w:sz="4" w:space="0"/>
              <w:bottom w:val="single" w:color="auto" w:sz="8" w:space="0"/>
            </w:tcBorders>
          </w:tcPr>
          <w:p w14:paraId="4354A9BC">
            <w:pPr>
              <w:adjustRightInd w:val="0"/>
              <w:jc w:val="center"/>
              <w:rPr>
                <w:rFonts w:ascii="Times New Roman" w:cs="Times New Roman"/>
                <w:b/>
                <w:sz w:val="24"/>
                <w:szCs w:val="20"/>
              </w:rPr>
            </w:pPr>
          </w:p>
        </w:tc>
      </w:tr>
      <w:tr w14:paraId="75A8E6D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381E3773">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0F31A66B">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7240794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400D993F">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57C47D0F">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79737D77">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0AAE2B5">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54608952">
            <w:pPr>
              <w:adjustRightInd w:val="0"/>
              <w:jc w:val="center"/>
              <w:rPr>
                <w:rFonts w:ascii="Times New Roman" w:cs="Times New Roman"/>
                <w:b/>
                <w:sz w:val="24"/>
                <w:szCs w:val="20"/>
              </w:rPr>
            </w:pPr>
          </w:p>
        </w:tc>
      </w:tr>
      <w:tr w14:paraId="410632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7767720A">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1C8AEF2A">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0CE65AF5">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27690CB">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77EDA288">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0F647967">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71B706B">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53EFB717">
            <w:pPr>
              <w:adjustRightInd w:val="0"/>
              <w:jc w:val="center"/>
              <w:rPr>
                <w:rFonts w:ascii="Times New Roman" w:cs="Times New Roman"/>
                <w:b/>
                <w:sz w:val="24"/>
                <w:szCs w:val="20"/>
              </w:rPr>
            </w:pPr>
          </w:p>
        </w:tc>
      </w:tr>
      <w:tr w14:paraId="34D3C0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031E4580">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51527C43">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24D54CCD">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9561117">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4A9D9B3A">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4121C1C1">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53B78D5">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2D43E891">
            <w:pPr>
              <w:adjustRightInd w:val="0"/>
              <w:jc w:val="center"/>
              <w:rPr>
                <w:rFonts w:ascii="Times New Roman" w:cs="Times New Roman"/>
                <w:b/>
                <w:sz w:val="24"/>
                <w:szCs w:val="20"/>
              </w:rPr>
            </w:pPr>
          </w:p>
        </w:tc>
      </w:tr>
      <w:tr w14:paraId="1CEC43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330E80D8">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6703F84A">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0A064307">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2F399E2C">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19A4C567">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4848B7E9">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A5A13E9">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33BC3A76">
            <w:pPr>
              <w:adjustRightInd w:val="0"/>
              <w:jc w:val="center"/>
              <w:rPr>
                <w:rFonts w:ascii="Times New Roman" w:cs="Times New Roman"/>
                <w:b/>
                <w:sz w:val="24"/>
                <w:szCs w:val="20"/>
              </w:rPr>
            </w:pPr>
          </w:p>
        </w:tc>
      </w:tr>
      <w:tr w14:paraId="1DA734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6ACDF449">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7FB10B9C">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534E18D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94E96ED">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1D0A133C">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3DE61679">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513B7E10">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7EFF989B">
            <w:pPr>
              <w:adjustRightInd w:val="0"/>
              <w:jc w:val="center"/>
              <w:rPr>
                <w:rFonts w:ascii="Times New Roman" w:cs="Times New Roman"/>
                <w:b/>
                <w:sz w:val="24"/>
                <w:szCs w:val="20"/>
              </w:rPr>
            </w:pPr>
          </w:p>
        </w:tc>
      </w:tr>
      <w:tr w14:paraId="4533E6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30BCC3CD">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488608FD">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5F8B586D">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2F82FC08">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5BB64585">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19C84A34">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25F2AC7">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4E1D17AB">
            <w:pPr>
              <w:adjustRightInd w:val="0"/>
              <w:jc w:val="center"/>
              <w:rPr>
                <w:rFonts w:ascii="Times New Roman" w:cs="Times New Roman"/>
                <w:b/>
                <w:sz w:val="24"/>
                <w:szCs w:val="20"/>
              </w:rPr>
            </w:pPr>
          </w:p>
        </w:tc>
      </w:tr>
      <w:tr w14:paraId="19D895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74315460">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27664138">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3FDFA3EB">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1750BBE">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112506A0">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4A9B96A2">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E36D3A1">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65337EEB">
            <w:pPr>
              <w:adjustRightInd w:val="0"/>
              <w:jc w:val="center"/>
              <w:rPr>
                <w:rFonts w:ascii="Times New Roman" w:cs="Times New Roman"/>
                <w:b/>
                <w:sz w:val="24"/>
                <w:szCs w:val="20"/>
              </w:rPr>
            </w:pPr>
          </w:p>
        </w:tc>
      </w:tr>
      <w:tr w14:paraId="0958D50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6FDDD7EE">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1EEDDDF2">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63BA1E86">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91E5E0D">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76C386AA">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739B755F">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4816A8C5">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37E107E7">
            <w:pPr>
              <w:adjustRightInd w:val="0"/>
              <w:jc w:val="center"/>
              <w:rPr>
                <w:rFonts w:ascii="Times New Roman" w:cs="Times New Roman"/>
                <w:b/>
                <w:sz w:val="24"/>
                <w:szCs w:val="20"/>
              </w:rPr>
            </w:pPr>
          </w:p>
        </w:tc>
      </w:tr>
      <w:tr w14:paraId="1F6C7E0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69203C0E">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26C97691">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52DF655D">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5A7A540F">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7F02314C">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2D8A3E42">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65AC9E1C">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326E74EE">
            <w:pPr>
              <w:adjustRightInd w:val="0"/>
              <w:jc w:val="center"/>
              <w:rPr>
                <w:rFonts w:ascii="Times New Roman" w:cs="Times New Roman"/>
                <w:b/>
                <w:sz w:val="24"/>
                <w:szCs w:val="20"/>
              </w:rPr>
            </w:pPr>
          </w:p>
        </w:tc>
      </w:tr>
      <w:tr w14:paraId="49F9389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66597825">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6FEFD9FE">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46378001">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2029F955">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75379F06">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098135B3">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361539D2">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0E9D1A05">
            <w:pPr>
              <w:adjustRightInd w:val="0"/>
              <w:jc w:val="center"/>
              <w:rPr>
                <w:rFonts w:ascii="Times New Roman" w:cs="Times New Roman"/>
                <w:b/>
                <w:sz w:val="24"/>
                <w:szCs w:val="20"/>
              </w:rPr>
            </w:pPr>
          </w:p>
        </w:tc>
      </w:tr>
      <w:tr w14:paraId="0E2FE2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5E8C8EDE">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1A4A6133">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31F39B3D">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3101C7CC">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5772A26">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55251D5E">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17AAB833">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3B9027C8">
            <w:pPr>
              <w:adjustRightInd w:val="0"/>
              <w:jc w:val="center"/>
              <w:rPr>
                <w:rFonts w:ascii="Times New Roman" w:cs="Times New Roman"/>
                <w:b/>
                <w:sz w:val="24"/>
                <w:szCs w:val="20"/>
              </w:rPr>
            </w:pPr>
          </w:p>
        </w:tc>
      </w:tr>
      <w:tr w14:paraId="75AC1E9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56785FCB">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5375E137">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69DA448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7503E74">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2B9033C2">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75FE71B2">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2E9F86CE">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5EEF4368">
            <w:pPr>
              <w:adjustRightInd w:val="0"/>
              <w:jc w:val="center"/>
              <w:rPr>
                <w:rFonts w:ascii="Times New Roman" w:cs="Times New Roman"/>
                <w:b/>
                <w:sz w:val="24"/>
                <w:szCs w:val="20"/>
              </w:rPr>
            </w:pPr>
          </w:p>
        </w:tc>
      </w:tr>
      <w:tr w14:paraId="460243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335C3F34">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21DA046A">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6DF45F54">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6078FA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117D406">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6AE031EA">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049D9792">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206224EA">
            <w:pPr>
              <w:adjustRightInd w:val="0"/>
              <w:jc w:val="center"/>
              <w:rPr>
                <w:rFonts w:ascii="Times New Roman" w:cs="Times New Roman"/>
                <w:b/>
                <w:sz w:val="24"/>
                <w:szCs w:val="20"/>
              </w:rPr>
            </w:pPr>
          </w:p>
        </w:tc>
      </w:tr>
      <w:tr w14:paraId="7F1850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42910AA2">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45EC1462">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0AAA7FF9">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20407F7C">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11E541DA">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375F29E5">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4BB83DD7">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35C8D44E">
            <w:pPr>
              <w:adjustRightInd w:val="0"/>
              <w:jc w:val="center"/>
              <w:rPr>
                <w:rFonts w:ascii="Times New Roman" w:cs="Times New Roman"/>
                <w:b/>
                <w:sz w:val="24"/>
                <w:szCs w:val="20"/>
              </w:rPr>
            </w:pPr>
          </w:p>
        </w:tc>
      </w:tr>
      <w:tr w14:paraId="615DBB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59FD3270">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2AE392ED">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00793DC7">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4044F78B">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5CFE442">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069E3B49">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511295D0">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70A545B7">
            <w:pPr>
              <w:adjustRightInd w:val="0"/>
              <w:jc w:val="center"/>
              <w:rPr>
                <w:rFonts w:ascii="Times New Roman" w:cs="Times New Roman"/>
                <w:b/>
                <w:sz w:val="24"/>
                <w:szCs w:val="20"/>
              </w:rPr>
            </w:pPr>
          </w:p>
        </w:tc>
      </w:tr>
      <w:tr w14:paraId="6BB379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4CB27A63">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6770ED8D">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631945D2">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31E85CC5">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3CCFBF85">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11367F17">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0EFA47BB">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6C001C71">
            <w:pPr>
              <w:adjustRightInd w:val="0"/>
              <w:jc w:val="center"/>
              <w:rPr>
                <w:rFonts w:ascii="Times New Roman" w:cs="Times New Roman"/>
                <w:b/>
                <w:sz w:val="24"/>
                <w:szCs w:val="20"/>
              </w:rPr>
            </w:pPr>
          </w:p>
        </w:tc>
      </w:tr>
      <w:tr w14:paraId="6CB31D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19D5EB76">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506569EB">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05B919D8">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C339B73">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3ED9236F">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575BA63D">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40A15772">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69B8816E">
            <w:pPr>
              <w:adjustRightInd w:val="0"/>
              <w:jc w:val="center"/>
              <w:rPr>
                <w:rFonts w:ascii="Times New Roman" w:cs="Times New Roman"/>
                <w:b/>
                <w:sz w:val="24"/>
                <w:szCs w:val="20"/>
              </w:rPr>
            </w:pPr>
          </w:p>
        </w:tc>
      </w:tr>
      <w:tr w14:paraId="153492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38F094E2">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07B14C44">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3EA0AD9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5EFA4E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566C7F58">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0307B4FE">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14BCD8DB">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7560AB59">
            <w:pPr>
              <w:adjustRightInd w:val="0"/>
              <w:jc w:val="center"/>
              <w:rPr>
                <w:rFonts w:ascii="Times New Roman" w:cs="Times New Roman"/>
                <w:b/>
                <w:sz w:val="24"/>
                <w:szCs w:val="20"/>
              </w:rPr>
            </w:pPr>
          </w:p>
        </w:tc>
      </w:tr>
      <w:tr w14:paraId="18B911C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52F9B5B7">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49150F4E">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567E2EC9">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31862F3F">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13F587C">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782CBBB0">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4510D2E1">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426165CA">
            <w:pPr>
              <w:adjustRightInd w:val="0"/>
              <w:jc w:val="center"/>
              <w:rPr>
                <w:rFonts w:ascii="Times New Roman" w:cs="Times New Roman"/>
                <w:b/>
                <w:sz w:val="24"/>
                <w:szCs w:val="20"/>
              </w:rPr>
            </w:pPr>
          </w:p>
        </w:tc>
      </w:tr>
      <w:tr w14:paraId="175A59C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0EAD953A">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1CD32634">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36F0F3D2">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6EB15E30">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0BCA9769">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4354A5F1">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44A910EE">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1F2796D0">
            <w:pPr>
              <w:adjustRightInd w:val="0"/>
              <w:jc w:val="center"/>
              <w:rPr>
                <w:rFonts w:ascii="Times New Roman" w:cs="Times New Roman"/>
                <w:b/>
                <w:sz w:val="24"/>
                <w:szCs w:val="20"/>
              </w:rPr>
            </w:pPr>
          </w:p>
        </w:tc>
      </w:tr>
      <w:tr w14:paraId="583A18B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4" w:hRule="atLeast"/>
          <w:jc w:val="center"/>
        </w:trPr>
        <w:tc>
          <w:tcPr>
            <w:tcW w:w="637" w:type="dxa"/>
            <w:tcBorders>
              <w:top w:val="single" w:color="auto" w:sz="8" w:space="0"/>
              <w:left w:val="double" w:color="auto" w:sz="6" w:space="0"/>
              <w:bottom w:val="single" w:color="auto" w:sz="8" w:space="0"/>
            </w:tcBorders>
            <w:vAlign w:val="center"/>
          </w:tcPr>
          <w:p w14:paraId="773E10A2">
            <w:pPr>
              <w:adjustRightInd w:val="0"/>
              <w:jc w:val="center"/>
              <w:rPr>
                <w:rFonts w:ascii="Times New Roman" w:cs="Times New Roman"/>
                <w:b/>
                <w:szCs w:val="20"/>
              </w:rPr>
            </w:pPr>
          </w:p>
        </w:tc>
        <w:tc>
          <w:tcPr>
            <w:tcW w:w="1120" w:type="dxa"/>
            <w:tcBorders>
              <w:top w:val="single" w:color="auto" w:sz="8" w:space="0"/>
              <w:bottom w:val="single" w:color="auto" w:sz="8" w:space="0"/>
              <w:right w:val="single" w:color="auto" w:sz="4" w:space="0"/>
            </w:tcBorders>
          </w:tcPr>
          <w:p w14:paraId="572741E9">
            <w:pPr>
              <w:adjustRightInd w:val="0"/>
              <w:jc w:val="center"/>
              <w:rPr>
                <w:rFonts w:ascii="Times New Roman" w:cs="Times New Roman"/>
                <w:b/>
                <w:sz w:val="24"/>
                <w:szCs w:val="20"/>
              </w:rPr>
            </w:pPr>
          </w:p>
        </w:tc>
        <w:tc>
          <w:tcPr>
            <w:tcW w:w="1175" w:type="dxa"/>
            <w:tcBorders>
              <w:top w:val="single" w:color="auto" w:sz="8" w:space="0"/>
              <w:bottom w:val="single" w:color="auto" w:sz="8" w:space="0"/>
            </w:tcBorders>
          </w:tcPr>
          <w:p w14:paraId="39321EA4">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4A526297">
            <w:pPr>
              <w:adjustRightInd w:val="0"/>
              <w:jc w:val="center"/>
              <w:rPr>
                <w:rFonts w:ascii="Times New Roman" w:cs="Times New Roman"/>
                <w:b/>
                <w:sz w:val="24"/>
                <w:szCs w:val="20"/>
              </w:rPr>
            </w:pPr>
          </w:p>
        </w:tc>
        <w:tc>
          <w:tcPr>
            <w:tcW w:w="940" w:type="dxa"/>
            <w:tcBorders>
              <w:top w:val="single" w:color="auto" w:sz="8" w:space="0"/>
              <w:bottom w:val="single" w:color="auto" w:sz="8" w:space="0"/>
            </w:tcBorders>
          </w:tcPr>
          <w:p w14:paraId="476D8D68">
            <w:pPr>
              <w:adjustRightInd w:val="0"/>
              <w:jc w:val="center"/>
              <w:rPr>
                <w:rFonts w:ascii="Times New Roman" w:cs="Times New Roman"/>
                <w:b/>
                <w:sz w:val="24"/>
                <w:szCs w:val="20"/>
              </w:rPr>
            </w:pPr>
          </w:p>
        </w:tc>
        <w:tc>
          <w:tcPr>
            <w:tcW w:w="968" w:type="dxa"/>
            <w:tcBorders>
              <w:top w:val="single" w:color="auto" w:sz="8" w:space="0"/>
              <w:bottom w:val="single" w:color="auto" w:sz="8" w:space="0"/>
              <w:right w:val="single" w:color="auto" w:sz="4" w:space="0"/>
            </w:tcBorders>
          </w:tcPr>
          <w:p w14:paraId="08928E42">
            <w:pPr>
              <w:adjustRightInd w:val="0"/>
              <w:jc w:val="center"/>
              <w:rPr>
                <w:rFonts w:ascii="Times New Roman" w:cs="Times New Roman"/>
                <w:b/>
                <w:sz w:val="24"/>
                <w:szCs w:val="20"/>
              </w:rPr>
            </w:pPr>
          </w:p>
        </w:tc>
        <w:tc>
          <w:tcPr>
            <w:tcW w:w="3353" w:type="dxa"/>
            <w:tcBorders>
              <w:top w:val="single" w:color="auto" w:sz="8" w:space="0"/>
              <w:left w:val="single" w:color="auto" w:sz="4" w:space="0"/>
              <w:bottom w:val="single" w:color="auto" w:sz="8" w:space="0"/>
            </w:tcBorders>
          </w:tcPr>
          <w:p w14:paraId="40791B87">
            <w:pPr>
              <w:adjustRightInd w:val="0"/>
              <w:jc w:val="center"/>
              <w:rPr>
                <w:rFonts w:ascii="Times New Roman" w:cs="Times New Roman"/>
                <w:b/>
                <w:sz w:val="24"/>
                <w:szCs w:val="20"/>
              </w:rPr>
            </w:pPr>
          </w:p>
        </w:tc>
        <w:tc>
          <w:tcPr>
            <w:tcW w:w="720" w:type="dxa"/>
            <w:tcBorders>
              <w:top w:val="single" w:color="auto" w:sz="8" w:space="0"/>
              <w:left w:val="single" w:color="auto" w:sz="4" w:space="0"/>
              <w:bottom w:val="single" w:color="auto" w:sz="8" w:space="0"/>
            </w:tcBorders>
          </w:tcPr>
          <w:p w14:paraId="108FC25F">
            <w:pPr>
              <w:adjustRightInd w:val="0"/>
              <w:jc w:val="center"/>
              <w:rPr>
                <w:rFonts w:ascii="Times New Roman" w:cs="Times New Roman"/>
                <w:b/>
                <w:sz w:val="24"/>
                <w:szCs w:val="20"/>
              </w:rPr>
            </w:pPr>
          </w:p>
        </w:tc>
      </w:tr>
      <w:tr w14:paraId="3C6708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99" w:hRule="atLeast"/>
          <w:jc w:val="center"/>
        </w:trPr>
        <w:tc>
          <w:tcPr>
            <w:tcW w:w="637" w:type="dxa"/>
            <w:tcBorders>
              <w:top w:val="single" w:color="auto" w:sz="8" w:space="0"/>
              <w:left w:val="double" w:color="auto" w:sz="6" w:space="0"/>
              <w:bottom w:val="double" w:color="auto" w:sz="6" w:space="0"/>
            </w:tcBorders>
            <w:vAlign w:val="center"/>
          </w:tcPr>
          <w:p w14:paraId="2E94D8FA">
            <w:pPr>
              <w:adjustRightInd w:val="0"/>
              <w:jc w:val="center"/>
              <w:rPr>
                <w:rFonts w:ascii="Times New Roman" w:cs="Times New Roman"/>
                <w:b/>
                <w:szCs w:val="20"/>
              </w:rPr>
            </w:pPr>
          </w:p>
        </w:tc>
        <w:tc>
          <w:tcPr>
            <w:tcW w:w="1120" w:type="dxa"/>
            <w:tcBorders>
              <w:top w:val="single" w:color="auto" w:sz="8" w:space="0"/>
              <w:bottom w:val="double" w:color="auto" w:sz="6" w:space="0"/>
              <w:right w:val="single" w:color="auto" w:sz="4" w:space="0"/>
            </w:tcBorders>
          </w:tcPr>
          <w:p w14:paraId="741C0F0A">
            <w:pPr>
              <w:adjustRightInd w:val="0"/>
              <w:jc w:val="center"/>
              <w:rPr>
                <w:rFonts w:ascii="Times New Roman" w:cs="Times New Roman"/>
                <w:b/>
                <w:sz w:val="24"/>
                <w:szCs w:val="20"/>
              </w:rPr>
            </w:pPr>
          </w:p>
        </w:tc>
        <w:tc>
          <w:tcPr>
            <w:tcW w:w="1175" w:type="dxa"/>
            <w:tcBorders>
              <w:top w:val="single" w:color="auto" w:sz="8" w:space="0"/>
              <w:bottom w:val="double" w:color="auto" w:sz="6" w:space="0"/>
            </w:tcBorders>
          </w:tcPr>
          <w:p w14:paraId="1D020F07">
            <w:pPr>
              <w:adjustRightInd w:val="0"/>
              <w:jc w:val="center"/>
              <w:rPr>
                <w:rFonts w:ascii="Times New Roman" w:cs="Times New Roman"/>
                <w:b/>
                <w:sz w:val="24"/>
                <w:szCs w:val="20"/>
              </w:rPr>
            </w:pPr>
          </w:p>
        </w:tc>
        <w:tc>
          <w:tcPr>
            <w:tcW w:w="940" w:type="dxa"/>
            <w:tcBorders>
              <w:top w:val="single" w:color="auto" w:sz="8" w:space="0"/>
              <w:bottom w:val="double" w:color="auto" w:sz="6" w:space="0"/>
            </w:tcBorders>
          </w:tcPr>
          <w:p w14:paraId="12F06BA6">
            <w:pPr>
              <w:adjustRightInd w:val="0"/>
              <w:jc w:val="center"/>
              <w:rPr>
                <w:rFonts w:ascii="Times New Roman" w:cs="Times New Roman"/>
                <w:b/>
                <w:sz w:val="24"/>
                <w:szCs w:val="20"/>
              </w:rPr>
            </w:pPr>
          </w:p>
        </w:tc>
        <w:tc>
          <w:tcPr>
            <w:tcW w:w="940" w:type="dxa"/>
            <w:tcBorders>
              <w:top w:val="single" w:color="auto" w:sz="8" w:space="0"/>
              <w:bottom w:val="double" w:color="auto" w:sz="6" w:space="0"/>
            </w:tcBorders>
          </w:tcPr>
          <w:p w14:paraId="2975CFFF">
            <w:pPr>
              <w:adjustRightInd w:val="0"/>
              <w:jc w:val="center"/>
              <w:rPr>
                <w:rFonts w:ascii="Times New Roman" w:cs="Times New Roman"/>
                <w:b/>
                <w:sz w:val="24"/>
                <w:szCs w:val="20"/>
              </w:rPr>
            </w:pPr>
          </w:p>
        </w:tc>
        <w:tc>
          <w:tcPr>
            <w:tcW w:w="968" w:type="dxa"/>
            <w:tcBorders>
              <w:top w:val="single" w:color="auto" w:sz="8" w:space="0"/>
              <w:bottom w:val="double" w:color="auto" w:sz="6" w:space="0"/>
              <w:right w:val="single" w:color="auto" w:sz="4" w:space="0"/>
            </w:tcBorders>
          </w:tcPr>
          <w:p w14:paraId="382DA39B">
            <w:pPr>
              <w:adjustRightInd w:val="0"/>
              <w:jc w:val="center"/>
              <w:rPr>
                <w:rFonts w:ascii="Times New Roman" w:cs="Times New Roman"/>
                <w:b/>
                <w:sz w:val="24"/>
                <w:szCs w:val="20"/>
              </w:rPr>
            </w:pPr>
          </w:p>
        </w:tc>
        <w:tc>
          <w:tcPr>
            <w:tcW w:w="3353" w:type="dxa"/>
            <w:tcBorders>
              <w:top w:val="single" w:color="auto" w:sz="8" w:space="0"/>
              <w:left w:val="single" w:color="auto" w:sz="4" w:space="0"/>
              <w:bottom w:val="double" w:color="auto" w:sz="6" w:space="0"/>
            </w:tcBorders>
          </w:tcPr>
          <w:p w14:paraId="627CF70B">
            <w:pPr>
              <w:adjustRightInd w:val="0"/>
              <w:jc w:val="center"/>
              <w:rPr>
                <w:rFonts w:ascii="Times New Roman" w:cs="Times New Roman"/>
                <w:b/>
                <w:sz w:val="24"/>
                <w:szCs w:val="20"/>
              </w:rPr>
            </w:pPr>
          </w:p>
        </w:tc>
        <w:tc>
          <w:tcPr>
            <w:tcW w:w="720" w:type="dxa"/>
            <w:tcBorders>
              <w:top w:val="single" w:color="auto" w:sz="8" w:space="0"/>
              <w:left w:val="single" w:color="auto" w:sz="4" w:space="0"/>
              <w:bottom w:val="double" w:color="auto" w:sz="6" w:space="0"/>
            </w:tcBorders>
          </w:tcPr>
          <w:p w14:paraId="07C68E7C">
            <w:pPr>
              <w:adjustRightInd w:val="0"/>
              <w:jc w:val="center"/>
              <w:rPr>
                <w:rFonts w:ascii="Times New Roman" w:cs="Times New Roman"/>
                <w:b/>
                <w:sz w:val="24"/>
                <w:szCs w:val="20"/>
              </w:rPr>
            </w:pPr>
          </w:p>
        </w:tc>
      </w:tr>
    </w:tbl>
    <w:p w14:paraId="696F58A9">
      <w:pPr>
        <w:autoSpaceDE w:val="0"/>
        <w:autoSpaceDN w:val="0"/>
        <w:spacing w:line="480" w:lineRule="auto"/>
        <w:rPr>
          <w:rFonts w:cs="宋体" w:asciiTheme="minorEastAsia" w:hAnsiTheme="minorEastAsia"/>
          <w:kern w:val="0"/>
          <w:sz w:val="24"/>
          <w:szCs w:val="24"/>
          <w:lang w:val="zh-CN" w:bidi="zh-CN"/>
        </w:rPr>
      </w:pPr>
      <w:r>
        <w:rPr>
          <w:rFonts w:hint="eastAsia" w:cs="宋体" w:asciiTheme="minorEastAsia" w:hAnsiTheme="minorEastAsia"/>
          <w:kern w:val="0"/>
          <w:sz w:val="24"/>
          <w:szCs w:val="24"/>
          <w:lang w:bidi="zh-CN"/>
        </w:rPr>
        <w:t>附：球</w:t>
      </w:r>
      <w:r>
        <w:rPr>
          <w:rFonts w:hint="eastAsia" w:cs="宋体" w:asciiTheme="minorEastAsia" w:hAnsiTheme="minorEastAsia"/>
          <w:kern w:val="0"/>
          <w:sz w:val="24"/>
          <w:szCs w:val="24"/>
          <w:lang w:val="zh-CN" w:bidi="zh-CN"/>
        </w:rPr>
        <w:t>员近期二寸彩色</w:t>
      </w:r>
      <w:r>
        <w:rPr>
          <w:rFonts w:hint="eastAsia" w:cs="宋体" w:asciiTheme="minorEastAsia" w:hAnsiTheme="minorEastAsia"/>
          <w:kern w:val="0"/>
          <w:sz w:val="24"/>
          <w:szCs w:val="24"/>
          <w:lang w:bidi="zh-CN"/>
        </w:rPr>
        <w:t>证件电子</w:t>
      </w:r>
      <w:r>
        <w:rPr>
          <w:rFonts w:hint="eastAsia" w:cs="宋体" w:asciiTheme="minorEastAsia" w:hAnsiTheme="minorEastAsia"/>
          <w:kern w:val="0"/>
          <w:sz w:val="24"/>
          <w:szCs w:val="24"/>
          <w:lang w:val="zh-CN" w:bidi="zh-CN"/>
        </w:rPr>
        <w:t>照片（</w:t>
      </w:r>
      <w:r>
        <w:rPr>
          <w:rFonts w:hint="eastAsia" w:cs="宋体" w:asciiTheme="minorEastAsia" w:hAnsiTheme="minorEastAsia"/>
          <w:kern w:val="0"/>
          <w:sz w:val="24"/>
          <w:szCs w:val="24"/>
          <w:lang w:bidi="zh-CN"/>
        </w:rPr>
        <w:t>全队</w:t>
      </w:r>
      <w:r>
        <w:rPr>
          <w:rFonts w:hint="eastAsia" w:cs="宋体" w:asciiTheme="minorEastAsia" w:hAnsiTheme="minorEastAsia"/>
          <w:kern w:val="0"/>
          <w:sz w:val="24"/>
          <w:szCs w:val="24"/>
          <w:lang w:val="en-US" w:bidi="zh-CN"/>
        </w:rPr>
        <w:t>所有球员</w:t>
      </w:r>
      <w:r>
        <w:rPr>
          <w:rFonts w:hint="eastAsia" w:cs="宋体" w:asciiTheme="minorEastAsia" w:hAnsiTheme="minorEastAsia"/>
          <w:kern w:val="0"/>
          <w:sz w:val="24"/>
          <w:szCs w:val="24"/>
          <w:lang w:val="zh-CN" w:bidi="zh-CN"/>
        </w:rPr>
        <w:t>）。</w:t>
      </w:r>
    </w:p>
    <w:p w14:paraId="6179227D">
      <w:pPr>
        <w:pStyle w:val="3"/>
      </w:pPr>
    </w:p>
    <w:p w14:paraId="6CF6E6EB">
      <w:pPr>
        <w:pStyle w:val="3"/>
      </w:pPr>
    </w:p>
    <w:p w14:paraId="68E0164D">
      <w:pPr>
        <w:spacing w:line="360" w:lineRule="auto"/>
        <w:jc w:val="center"/>
        <w:rPr>
          <w:rFonts w:ascii="华文中宋" w:hAnsi="华文中宋" w:eastAsia="华文中宋" w:cstheme="majorEastAsia"/>
          <w:b/>
          <w:sz w:val="36"/>
          <w:szCs w:val="32"/>
        </w:rPr>
      </w:pPr>
      <w:r>
        <w:rPr>
          <w:rFonts w:hint="eastAsia" w:ascii="华文中宋" w:hAnsi="华文中宋" w:eastAsia="华文中宋" w:cstheme="majorEastAsia"/>
          <w:b/>
          <w:sz w:val="36"/>
          <w:szCs w:val="32"/>
        </w:rPr>
        <w:t>XX  篮球 赛  参赛球队报名表</w:t>
      </w:r>
    </w:p>
    <w:p w14:paraId="3E8339B6">
      <w:pPr>
        <w:pStyle w:val="3"/>
      </w:pPr>
      <w:r>
        <w:rPr>
          <w:b/>
          <w:sz w:val="44"/>
          <w:szCs w:val="20"/>
        </w:rPr>
        <mc:AlternateContent>
          <mc:Choice Requires="wps">
            <w:drawing>
              <wp:anchor distT="0" distB="0" distL="114300" distR="114300" simplePos="0" relativeHeight="251660288" behindDoc="0" locked="0" layoutInCell="1" allowOverlap="1">
                <wp:simplePos x="0" y="0"/>
                <wp:positionH relativeFrom="column">
                  <wp:posOffset>3743325</wp:posOffset>
                </wp:positionH>
                <wp:positionV relativeFrom="paragraph">
                  <wp:posOffset>213995</wp:posOffset>
                </wp:positionV>
                <wp:extent cx="1422400" cy="260350"/>
                <wp:effectExtent l="9525" t="9525" r="15875" b="15875"/>
                <wp:wrapNone/>
                <wp:docPr id="11" name="文本框 11"/>
                <wp:cNvGraphicFramePr/>
                <a:graphic xmlns:a="http://schemas.openxmlformats.org/drawingml/2006/main">
                  <a:graphicData uri="http://schemas.microsoft.com/office/word/2010/wordprocessingShape">
                    <wps:wsp>
                      <wps:cNvSpPr txBox="1">
                        <a:spLocks noChangeArrowheads="1"/>
                      </wps:cNvSpPr>
                      <wps:spPr bwMode="auto">
                        <a:xfrm>
                          <a:off x="0" y="0"/>
                          <a:ext cx="1422400" cy="260350"/>
                        </a:xfrm>
                        <a:prstGeom prst="rect">
                          <a:avLst/>
                        </a:prstGeom>
                        <a:solidFill>
                          <a:srgbClr val="FFFFFF"/>
                        </a:solidFill>
                        <a:ln w="19050" cmpd="sng">
                          <a:solidFill>
                            <a:srgbClr val="000000"/>
                          </a:solidFill>
                          <a:miter lim="800000"/>
                        </a:ln>
                      </wps:spPr>
                      <wps:txbx>
                        <w:txbxContent>
                          <w:p w14:paraId="40BA200B">
                            <w:pPr>
                              <w:spacing w:line="240" w:lineRule="exact"/>
                              <w:rPr>
                                <w:rFonts w:eastAsia="仿宋_GB2312"/>
                                <w:b/>
                              </w:rPr>
                            </w:pPr>
                            <w:r>
                              <w:rPr>
                                <w:rFonts w:hint="eastAsia" w:eastAsia="仿宋_GB2312"/>
                                <w:b/>
                                <w:snapToGrid w:val="0"/>
                                <w:sz w:val="24"/>
                              </w:rPr>
                              <w:t>2 官员报名表</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94.75pt;margin-top:16.85pt;height:20.5pt;width:112pt;z-index:251660288;mso-width-relative:page;mso-height-relative:page;" fillcolor="#FFFFFF" filled="t" stroked="t" coordsize="21600,21600" o:gfxdata="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1c7UtUAAAAJAQAADwAAAAAAAAABACAA&#10;AAAiAAAAZHJzL2Rvd25yZXYueG1sUEsBAhQAFAAAAAgAh07iQNKImSpJAgAAlQQAAA4AAAAAAAAA&#10;AQAgAAAAJAEAAGRycy9lMm9Eb2MueG1sUEsFBgAAAAAGAAYAWQEAAN8FAAAAAA==&#10;">
                <v:fill on="t" focussize="0,0"/>
                <v:stroke weight="1.5pt" color="#000000" miterlimit="8" joinstyle="miter"/>
                <v:imagedata o:title=""/>
                <o:lock v:ext="edit" aspectratio="f"/>
                <v:textbox>
                  <w:txbxContent>
                    <w:p w14:paraId="40BA200B">
                      <w:pPr>
                        <w:spacing w:line="240" w:lineRule="exact"/>
                        <w:rPr>
                          <w:rFonts w:eastAsia="仿宋_GB2312"/>
                          <w:b/>
                        </w:rPr>
                      </w:pPr>
                      <w:r>
                        <w:rPr>
                          <w:rFonts w:hint="eastAsia" w:eastAsia="仿宋_GB2312"/>
                          <w:b/>
                          <w:snapToGrid w:val="0"/>
                          <w:sz w:val="24"/>
                        </w:rPr>
                        <w:t>2 官员报名表</w:t>
                      </w:r>
                    </w:p>
                  </w:txbxContent>
                </v:textbox>
              </v:shape>
            </w:pict>
          </mc:Fallback>
        </mc:AlternateContent>
      </w:r>
    </w:p>
    <w:p w14:paraId="7AF11B46">
      <w:pPr>
        <w:adjustRightInd w:val="0"/>
        <w:rPr>
          <w:rFonts w:ascii="Times New Roman" w:cs="Times New Roman"/>
          <w:b/>
          <w:sz w:val="44"/>
          <w:szCs w:val="20"/>
        </w:rPr>
      </w:pPr>
      <w:r>
        <w:rPr>
          <w:rFonts w:hint="eastAsia" w:ascii="Times New Roman" w:cs="Times New Roman"/>
          <w:b/>
          <w:szCs w:val="20"/>
        </w:rPr>
        <w:t xml:space="preserve">男子  </w:t>
      </w:r>
      <w:r>
        <w:rPr>
          <w:rFonts w:hint="eastAsia" w:ascii="Times New Roman" w:cs="Times New Roman"/>
          <w:b/>
          <w:szCs w:val="20"/>
        </w:rPr>
        <w:sym w:font="Wingdings 2" w:char="00A3"/>
      </w:r>
      <w:r>
        <w:rPr>
          <w:rFonts w:hint="eastAsia" w:ascii="Times New Roman" w:cs="Times New Roman"/>
          <w:b/>
          <w:szCs w:val="20"/>
        </w:rPr>
        <w:t xml:space="preserve">     女子  </w:t>
      </w:r>
      <w:r>
        <w:rPr>
          <w:rFonts w:hint="eastAsia" w:ascii="Times New Roman" w:cs="Times New Roman"/>
          <w:b/>
          <w:szCs w:val="20"/>
        </w:rPr>
        <w:sym w:font="Wingdings 2" w:char="00A3"/>
      </w:r>
    </w:p>
    <w:p w14:paraId="636E6948">
      <w:pPr>
        <w:adjustRightInd w:val="0"/>
        <w:ind w:firstLine="420" w:firstLineChars="200"/>
        <w:rPr>
          <w:rFonts w:ascii="Times New Roman" w:cs="Times New Roman"/>
          <w:sz w:val="24"/>
          <w:szCs w:val="20"/>
        </w:rPr>
      </w:pPr>
      <w:r>
        <w:rPr>
          <w:rFonts w:hint="eastAsia" w:ascii="Times New Roman" w:cs="Times New Roman"/>
          <w:b/>
          <w:szCs w:val="20"/>
        </w:rPr>
        <w:t xml:space="preserve">球队名称：   </w:t>
      </w:r>
    </w:p>
    <w:tbl>
      <w:tblPr>
        <w:tblStyle w:val="13"/>
        <w:tblpPr w:leftFromText="180" w:rightFromText="180" w:vertAnchor="text" w:horzAnchor="margin" w:tblpY="345"/>
        <w:tblOverlap w:val="never"/>
        <w:tblW w:w="8318"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448"/>
        <w:gridCol w:w="1216"/>
        <w:gridCol w:w="815"/>
        <w:gridCol w:w="2682"/>
        <w:gridCol w:w="2157"/>
      </w:tblGrid>
      <w:tr w14:paraId="6C42D3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4F283D4B">
            <w:pPr>
              <w:jc w:val="center"/>
              <w:rPr>
                <w:rFonts w:ascii="黑体" w:hAnsi="黑体" w:eastAsia="黑体" w:cs="黑体"/>
                <w:szCs w:val="28"/>
              </w:rPr>
            </w:pPr>
            <w:r>
              <w:rPr>
                <w:rFonts w:hint="eastAsia" w:ascii="黑体" w:hAnsi="黑体" w:eastAsia="黑体" w:cs="黑体"/>
                <w:szCs w:val="28"/>
              </w:rPr>
              <w:t>身   份</w:t>
            </w:r>
          </w:p>
        </w:tc>
        <w:tc>
          <w:tcPr>
            <w:tcW w:w="1216" w:type="dxa"/>
            <w:vAlign w:val="center"/>
          </w:tcPr>
          <w:p w14:paraId="301F4908">
            <w:pPr>
              <w:jc w:val="center"/>
              <w:rPr>
                <w:rFonts w:ascii="黑体" w:hAnsi="黑体" w:eastAsia="黑体" w:cs="黑体"/>
                <w:szCs w:val="28"/>
              </w:rPr>
            </w:pPr>
            <w:r>
              <w:rPr>
                <w:rFonts w:hint="eastAsia" w:ascii="黑体" w:hAnsi="黑体" w:eastAsia="黑体" w:cs="黑体"/>
                <w:szCs w:val="28"/>
              </w:rPr>
              <w:t>姓   名</w:t>
            </w:r>
          </w:p>
        </w:tc>
        <w:tc>
          <w:tcPr>
            <w:tcW w:w="815" w:type="dxa"/>
            <w:vAlign w:val="center"/>
          </w:tcPr>
          <w:p w14:paraId="7C174180">
            <w:pPr>
              <w:jc w:val="center"/>
              <w:rPr>
                <w:rFonts w:ascii="黑体" w:hAnsi="黑体" w:eastAsia="黑体" w:cs="黑体"/>
                <w:szCs w:val="28"/>
              </w:rPr>
            </w:pPr>
            <w:r>
              <w:rPr>
                <w:rFonts w:hint="eastAsia" w:ascii="黑体" w:hAnsi="黑体" w:eastAsia="黑体" w:cs="黑体"/>
                <w:szCs w:val="28"/>
              </w:rPr>
              <w:t>性别</w:t>
            </w:r>
          </w:p>
        </w:tc>
        <w:tc>
          <w:tcPr>
            <w:tcW w:w="2682" w:type="dxa"/>
            <w:vAlign w:val="center"/>
          </w:tcPr>
          <w:p w14:paraId="5DD622ED">
            <w:pPr>
              <w:jc w:val="center"/>
              <w:rPr>
                <w:rFonts w:hint="eastAsia" w:ascii="黑体" w:hAnsi="黑体" w:eastAsia="黑体" w:cs="黑体"/>
                <w:szCs w:val="28"/>
                <w:lang w:eastAsia="zh-CN"/>
              </w:rPr>
            </w:pPr>
            <w:r>
              <w:rPr>
                <w:rFonts w:hint="eastAsia" w:ascii="黑体" w:hAnsi="黑体" w:eastAsia="黑体" w:cs="黑体"/>
                <w:szCs w:val="28"/>
              </w:rPr>
              <w:t>身份证号</w:t>
            </w:r>
            <w:r>
              <w:rPr>
                <w:rFonts w:hint="eastAsia" w:ascii="黑体" w:hAnsi="黑体" w:eastAsia="黑体" w:cs="黑体"/>
                <w:szCs w:val="28"/>
                <w:lang w:eastAsia="zh-CN"/>
              </w:rPr>
              <w:t>（</w:t>
            </w:r>
            <w:r>
              <w:rPr>
                <w:rFonts w:hint="eastAsia" w:ascii="黑体" w:hAnsi="黑体" w:eastAsia="黑体" w:cs="黑体"/>
                <w:szCs w:val="28"/>
                <w:lang w:val="en-US" w:eastAsia="zh-CN"/>
              </w:rPr>
              <w:t>视赛事规定</w:t>
            </w:r>
            <w:r>
              <w:rPr>
                <w:rFonts w:hint="eastAsia" w:ascii="黑体" w:hAnsi="黑体" w:eastAsia="黑体" w:cs="黑体"/>
                <w:szCs w:val="28"/>
                <w:lang w:eastAsia="zh-CN"/>
              </w:rPr>
              <w:t>）</w:t>
            </w:r>
          </w:p>
        </w:tc>
        <w:tc>
          <w:tcPr>
            <w:tcW w:w="2157" w:type="dxa"/>
            <w:vAlign w:val="center"/>
          </w:tcPr>
          <w:p w14:paraId="7C3BBCA8">
            <w:pPr>
              <w:jc w:val="center"/>
              <w:rPr>
                <w:rFonts w:ascii="黑体" w:hAnsi="黑体" w:eastAsia="黑体" w:cs="黑体"/>
                <w:szCs w:val="28"/>
              </w:rPr>
            </w:pPr>
            <w:r>
              <w:rPr>
                <w:rFonts w:hint="eastAsia" w:ascii="黑体" w:hAnsi="黑体" w:eastAsia="黑体" w:cs="黑体"/>
                <w:szCs w:val="28"/>
              </w:rPr>
              <w:t>手机号码</w:t>
            </w:r>
          </w:p>
        </w:tc>
      </w:tr>
      <w:tr w14:paraId="3FE90AF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52FB05C0">
            <w:pPr>
              <w:jc w:val="center"/>
              <w:rPr>
                <w:rFonts w:ascii="黑体" w:hAnsi="黑体" w:eastAsia="黑体" w:cs="黑体"/>
                <w:szCs w:val="28"/>
              </w:rPr>
            </w:pPr>
            <w:r>
              <w:rPr>
                <w:rFonts w:hint="eastAsia" w:ascii="黑体" w:hAnsi="黑体" w:eastAsia="黑体" w:cs="黑体"/>
                <w:szCs w:val="28"/>
              </w:rPr>
              <w:t>领    队</w:t>
            </w:r>
          </w:p>
        </w:tc>
        <w:tc>
          <w:tcPr>
            <w:tcW w:w="1216" w:type="dxa"/>
            <w:vAlign w:val="center"/>
          </w:tcPr>
          <w:p w14:paraId="2CF5DEE2">
            <w:pPr>
              <w:jc w:val="center"/>
              <w:rPr>
                <w:rFonts w:ascii="黑体" w:hAnsi="黑体" w:eastAsia="黑体" w:cs="黑体"/>
                <w:szCs w:val="28"/>
              </w:rPr>
            </w:pPr>
          </w:p>
        </w:tc>
        <w:tc>
          <w:tcPr>
            <w:tcW w:w="815" w:type="dxa"/>
            <w:vAlign w:val="center"/>
          </w:tcPr>
          <w:p w14:paraId="6C7B770C">
            <w:pPr>
              <w:jc w:val="center"/>
              <w:rPr>
                <w:rFonts w:ascii="黑体" w:hAnsi="黑体" w:eastAsia="黑体" w:cs="黑体"/>
                <w:szCs w:val="28"/>
              </w:rPr>
            </w:pPr>
          </w:p>
        </w:tc>
        <w:tc>
          <w:tcPr>
            <w:tcW w:w="2682" w:type="dxa"/>
            <w:vAlign w:val="center"/>
          </w:tcPr>
          <w:p w14:paraId="13BD4E5C">
            <w:pPr>
              <w:jc w:val="center"/>
              <w:rPr>
                <w:rFonts w:ascii="黑体" w:hAnsi="黑体" w:eastAsia="黑体" w:cs="黑体"/>
                <w:szCs w:val="28"/>
              </w:rPr>
            </w:pPr>
          </w:p>
        </w:tc>
        <w:tc>
          <w:tcPr>
            <w:tcW w:w="2157" w:type="dxa"/>
            <w:vAlign w:val="center"/>
          </w:tcPr>
          <w:p w14:paraId="497D29D1">
            <w:pPr>
              <w:jc w:val="center"/>
              <w:rPr>
                <w:rFonts w:ascii="黑体" w:hAnsi="黑体" w:eastAsia="黑体" w:cs="黑体"/>
                <w:szCs w:val="28"/>
              </w:rPr>
            </w:pPr>
          </w:p>
        </w:tc>
      </w:tr>
      <w:tr w14:paraId="0CE3C5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0E3633F6">
            <w:pPr>
              <w:jc w:val="center"/>
              <w:rPr>
                <w:rFonts w:ascii="黑体" w:hAnsi="黑体" w:eastAsia="黑体" w:cs="黑体"/>
                <w:szCs w:val="28"/>
              </w:rPr>
            </w:pPr>
            <w:r>
              <w:rPr>
                <w:rFonts w:hint="eastAsia" w:ascii="黑体" w:hAnsi="黑体" w:eastAsia="黑体" w:cs="黑体"/>
                <w:szCs w:val="28"/>
              </w:rPr>
              <w:t>球队管理</w:t>
            </w:r>
          </w:p>
        </w:tc>
        <w:tc>
          <w:tcPr>
            <w:tcW w:w="1216" w:type="dxa"/>
            <w:vAlign w:val="center"/>
          </w:tcPr>
          <w:p w14:paraId="5E2CD921">
            <w:pPr>
              <w:jc w:val="center"/>
              <w:rPr>
                <w:rFonts w:ascii="黑体" w:hAnsi="黑体" w:eastAsia="黑体" w:cs="黑体"/>
                <w:szCs w:val="28"/>
              </w:rPr>
            </w:pPr>
          </w:p>
        </w:tc>
        <w:tc>
          <w:tcPr>
            <w:tcW w:w="815" w:type="dxa"/>
            <w:vAlign w:val="center"/>
          </w:tcPr>
          <w:p w14:paraId="35443526">
            <w:pPr>
              <w:jc w:val="center"/>
              <w:rPr>
                <w:rFonts w:ascii="黑体" w:hAnsi="黑体" w:eastAsia="黑体" w:cs="黑体"/>
                <w:szCs w:val="28"/>
              </w:rPr>
            </w:pPr>
          </w:p>
        </w:tc>
        <w:tc>
          <w:tcPr>
            <w:tcW w:w="2682" w:type="dxa"/>
            <w:vAlign w:val="center"/>
          </w:tcPr>
          <w:p w14:paraId="7F5CBE3D">
            <w:pPr>
              <w:jc w:val="center"/>
              <w:rPr>
                <w:rFonts w:ascii="黑体" w:hAnsi="黑体" w:eastAsia="黑体" w:cs="黑体"/>
                <w:szCs w:val="28"/>
              </w:rPr>
            </w:pPr>
          </w:p>
        </w:tc>
        <w:tc>
          <w:tcPr>
            <w:tcW w:w="2157" w:type="dxa"/>
            <w:vAlign w:val="center"/>
          </w:tcPr>
          <w:p w14:paraId="143C511E">
            <w:pPr>
              <w:jc w:val="center"/>
              <w:rPr>
                <w:rFonts w:ascii="黑体" w:hAnsi="黑体" w:eastAsia="黑体" w:cs="黑体"/>
                <w:szCs w:val="28"/>
              </w:rPr>
            </w:pPr>
          </w:p>
        </w:tc>
      </w:tr>
      <w:tr w14:paraId="63FF2D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75D3B28A">
            <w:pPr>
              <w:jc w:val="center"/>
              <w:rPr>
                <w:rFonts w:ascii="黑体" w:hAnsi="黑体" w:eastAsia="黑体" w:cs="黑体"/>
                <w:szCs w:val="28"/>
              </w:rPr>
            </w:pPr>
            <w:r>
              <w:rPr>
                <w:rFonts w:hint="eastAsia" w:ascii="黑体" w:hAnsi="黑体" w:eastAsia="黑体" w:cs="黑体"/>
                <w:szCs w:val="28"/>
              </w:rPr>
              <w:t>主 教 练</w:t>
            </w:r>
          </w:p>
        </w:tc>
        <w:tc>
          <w:tcPr>
            <w:tcW w:w="1216" w:type="dxa"/>
            <w:vAlign w:val="center"/>
          </w:tcPr>
          <w:p w14:paraId="0E323389">
            <w:pPr>
              <w:jc w:val="center"/>
              <w:rPr>
                <w:rFonts w:ascii="黑体" w:hAnsi="黑体" w:eastAsia="黑体" w:cs="黑体"/>
                <w:szCs w:val="28"/>
              </w:rPr>
            </w:pPr>
          </w:p>
        </w:tc>
        <w:tc>
          <w:tcPr>
            <w:tcW w:w="815" w:type="dxa"/>
            <w:vAlign w:val="center"/>
          </w:tcPr>
          <w:p w14:paraId="295A28B9">
            <w:pPr>
              <w:jc w:val="center"/>
              <w:rPr>
                <w:rFonts w:ascii="黑体" w:hAnsi="黑体" w:eastAsia="黑体" w:cs="黑体"/>
                <w:szCs w:val="28"/>
              </w:rPr>
            </w:pPr>
          </w:p>
        </w:tc>
        <w:tc>
          <w:tcPr>
            <w:tcW w:w="2682" w:type="dxa"/>
            <w:vAlign w:val="center"/>
          </w:tcPr>
          <w:p w14:paraId="3C320946">
            <w:pPr>
              <w:jc w:val="center"/>
              <w:rPr>
                <w:rFonts w:ascii="黑体" w:hAnsi="黑体" w:eastAsia="黑体" w:cs="黑体"/>
                <w:szCs w:val="28"/>
              </w:rPr>
            </w:pPr>
          </w:p>
        </w:tc>
        <w:tc>
          <w:tcPr>
            <w:tcW w:w="2157" w:type="dxa"/>
            <w:vAlign w:val="center"/>
          </w:tcPr>
          <w:p w14:paraId="30388866">
            <w:pPr>
              <w:jc w:val="center"/>
              <w:rPr>
                <w:rFonts w:ascii="黑体" w:hAnsi="黑体" w:eastAsia="黑体" w:cs="黑体"/>
                <w:szCs w:val="28"/>
              </w:rPr>
            </w:pPr>
          </w:p>
        </w:tc>
      </w:tr>
      <w:tr w14:paraId="0728B47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3B8236F2">
            <w:pPr>
              <w:jc w:val="center"/>
              <w:rPr>
                <w:rFonts w:ascii="黑体" w:hAnsi="黑体" w:eastAsia="黑体" w:cs="黑体"/>
                <w:szCs w:val="28"/>
              </w:rPr>
            </w:pPr>
            <w:r>
              <w:rPr>
                <w:rFonts w:hint="eastAsia" w:ascii="黑体" w:hAnsi="黑体" w:eastAsia="黑体" w:cs="黑体"/>
                <w:szCs w:val="28"/>
              </w:rPr>
              <w:t>助理教练</w:t>
            </w:r>
          </w:p>
        </w:tc>
        <w:tc>
          <w:tcPr>
            <w:tcW w:w="1216" w:type="dxa"/>
            <w:vAlign w:val="center"/>
          </w:tcPr>
          <w:p w14:paraId="653E4A17">
            <w:pPr>
              <w:jc w:val="center"/>
              <w:rPr>
                <w:rFonts w:ascii="黑体" w:hAnsi="黑体" w:eastAsia="黑体" w:cs="黑体"/>
                <w:szCs w:val="28"/>
              </w:rPr>
            </w:pPr>
          </w:p>
        </w:tc>
        <w:tc>
          <w:tcPr>
            <w:tcW w:w="815" w:type="dxa"/>
            <w:vAlign w:val="center"/>
          </w:tcPr>
          <w:p w14:paraId="6DBE14FD">
            <w:pPr>
              <w:jc w:val="center"/>
              <w:rPr>
                <w:rFonts w:ascii="黑体" w:hAnsi="黑体" w:eastAsia="黑体" w:cs="黑体"/>
                <w:szCs w:val="28"/>
              </w:rPr>
            </w:pPr>
          </w:p>
        </w:tc>
        <w:tc>
          <w:tcPr>
            <w:tcW w:w="2682" w:type="dxa"/>
            <w:vAlign w:val="center"/>
          </w:tcPr>
          <w:p w14:paraId="66324197">
            <w:pPr>
              <w:jc w:val="center"/>
              <w:rPr>
                <w:rFonts w:ascii="黑体" w:hAnsi="黑体" w:eastAsia="黑体" w:cs="黑体"/>
                <w:szCs w:val="28"/>
              </w:rPr>
            </w:pPr>
          </w:p>
        </w:tc>
        <w:tc>
          <w:tcPr>
            <w:tcW w:w="2157" w:type="dxa"/>
            <w:vAlign w:val="center"/>
          </w:tcPr>
          <w:p w14:paraId="06FFF96F">
            <w:pPr>
              <w:jc w:val="center"/>
              <w:rPr>
                <w:rFonts w:ascii="黑体" w:hAnsi="黑体" w:eastAsia="黑体" w:cs="黑体"/>
                <w:szCs w:val="28"/>
              </w:rPr>
            </w:pPr>
          </w:p>
        </w:tc>
      </w:tr>
      <w:tr w14:paraId="7A2715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2FD44E65">
            <w:pPr>
              <w:jc w:val="center"/>
              <w:rPr>
                <w:rFonts w:ascii="黑体" w:hAnsi="黑体" w:eastAsia="黑体" w:cs="黑体"/>
                <w:szCs w:val="28"/>
              </w:rPr>
            </w:pPr>
            <w:r>
              <w:rPr>
                <w:rFonts w:hint="eastAsia" w:ascii="黑体" w:hAnsi="黑体" w:eastAsia="黑体" w:cs="黑体"/>
                <w:szCs w:val="28"/>
              </w:rPr>
              <w:t>助理教练</w:t>
            </w:r>
          </w:p>
        </w:tc>
        <w:tc>
          <w:tcPr>
            <w:tcW w:w="1216" w:type="dxa"/>
            <w:vAlign w:val="center"/>
          </w:tcPr>
          <w:p w14:paraId="4C8E9E53">
            <w:pPr>
              <w:jc w:val="center"/>
              <w:rPr>
                <w:rFonts w:ascii="黑体" w:hAnsi="黑体" w:eastAsia="黑体" w:cs="黑体"/>
                <w:szCs w:val="28"/>
              </w:rPr>
            </w:pPr>
          </w:p>
        </w:tc>
        <w:tc>
          <w:tcPr>
            <w:tcW w:w="815" w:type="dxa"/>
            <w:vAlign w:val="center"/>
          </w:tcPr>
          <w:p w14:paraId="5B2D70B1">
            <w:pPr>
              <w:jc w:val="center"/>
              <w:rPr>
                <w:rFonts w:ascii="黑体" w:hAnsi="黑体" w:eastAsia="黑体" w:cs="黑体"/>
                <w:szCs w:val="28"/>
              </w:rPr>
            </w:pPr>
          </w:p>
        </w:tc>
        <w:tc>
          <w:tcPr>
            <w:tcW w:w="2682" w:type="dxa"/>
            <w:vAlign w:val="center"/>
          </w:tcPr>
          <w:p w14:paraId="4E960D13">
            <w:pPr>
              <w:jc w:val="center"/>
              <w:rPr>
                <w:rFonts w:ascii="黑体" w:hAnsi="黑体" w:eastAsia="黑体" w:cs="黑体"/>
                <w:szCs w:val="28"/>
              </w:rPr>
            </w:pPr>
          </w:p>
        </w:tc>
        <w:tc>
          <w:tcPr>
            <w:tcW w:w="2157" w:type="dxa"/>
            <w:vAlign w:val="center"/>
          </w:tcPr>
          <w:p w14:paraId="562B9A46">
            <w:pPr>
              <w:jc w:val="center"/>
              <w:rPr>
                <w:rFonts w:ascii="黑体" w:hAnsi="黑体" w:eastAsia="黑体" w:cs="黑体"/>
                <w:szCs w:val="28"/>
              </w:rPr>
            </w:pPr>
          </w:p>
        </w:tc>
      </w:tr>
      <w:tr w14:paraId="7388E0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5A0511BF">
            <w:pPr>
              <w:jc w:val="center"/>
              <w:rPr>
                <w:rFonts w:ascii="黑体" w:hAnsi="黑体" w:eastAsia="黑体" w:cs="黑体"/>
                <w:szCs w:val="28"/>
              </w:rPr>
            </w:pPr>
            <w:r>
              <w:rPr>
                <w:rFonts w:hint="eastAsia" w:ascii="黑体" w:hAnsi="黑体" w:eastAsia="黑体" w:cs="黑体"/>
                <w:szCs w:val="28"/>
              </w:rPr>
              <w:t>医    生</w:t>
            </w:r>
          </w:p>
        </w:tc>
        <w:tc>
          <w:tcPr>
            <w:tcW w:w="1216" w:type="dxa"/>
            <w:vAlign w:val="center"/>
          </w:tcPr>
          <w:p w14:paraId="2F7BAD97">
            <w:pPr>
              <w:jc w:val="center"/>
              <w:rPr>
                <w:rFonts w:ascii="黑体" w:hAnsi="黑体" w:eastAsia="黑体" w:cs="黑体"/>
                <w:szCs w:val="28"/>
              </w:rPr>
            </w:pPr>
          </w:p>
        </w:tc>
        <w:tc>
          <w:tcPr>
            <w:tcW w:w="815" w:type="dxa"/>
            <w:vAlign w:val="center"/>
          </w:tcPr>
          <w:p w14:paraId="3DD808FB">
            <w:pPr>
              <w:jc w:val="center"/>
              <w:rPr>
                <w:rFonts w:ascii="黑体" w:hAnsi="黑体" w:eastAsia="黑体" w:cs="黑体"/>
                <w:szCs w:val="28"/>
              </w:rPr>
            </w:pPr>
          </w:p>
        </w:tc>
        <w:tc>
          <w:tcPr>
            <w:tcW w:w="2682" w:type="dxa"/>
            <w:vAlign w:val="center"/>
          </w:tcPr>
          <w:p w14:paraId="77B78172">
            <w:pPr>
              <w:jc w:val="center"/>
              <w:rPr>
                <w:rFonts w:ascii="黑体" w:hAnsi="黑体" w:eastAsia="黑体" w:cs="黑体"/>
                <w:szCs w:val="28"/>
              </w:rPr>
            </w:pPr>
          </w:p>
        </w:tc>
        <w:tc>
          <w:tcPr>
            <w:tcW w:w="2157" w:type="dxa"/>
            <w:vAlign w:val="center"/>
          </w:tcPr>
          <w:p w14:paraId="285E2CF3">
            <w:pPr>
              <w:jc w:val="center"/>
              <w:rPr>
                <w:rFonts w:ascii="黑体" w:hAnsi="黑体" w:eastAsia="黑体" w:cs="黑体"/>
                <w:szCs w:val="28"/>
              </w:rPr>
            </w:pPr>
          </w:p>
        </w:tc>
      </w:tr>
      <w:tr w14:paraId="7029ADB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1" w:hRule="exact"/>
        </w:trPr>
        <w:tc>
          <w:tcPr>
            <w:tcW w:w="1448" w:type="dxa"/>
            <w:vAlign w:val="center"/>
          </w:tcPr>
          <w:p w14:paraId="56801A43">
            <w:pPr>
              <w:jc w:val="center"/>
              <w:rPr>
                <w:rFonts w:ascii="黑体" w:hAnsi="黑体" w:eastAsia="黑体" w:cs="黑体"/>
                <w:szCs w:val="28"/>
              </w:rPr>
            </w:pPr>
            <w:r>
              <w:rPr>
                <w:rFonts w:hint="eastAsia" w:ascii="黑体" w:hAnsi="黑体" w:eastAsia="黑体" w:cs="黑体"/>
                <w:szCs w:val="28"/>
              </w:rPr>
              <w:t>翻    译</w:t>
            </w:r>
          </w:p>
        </w:tc>
        <w:tc>
          <w:tcPr>
            <w:tcW w:w="1216" w:type="dxa"/>
            <w:vAlign w:val="center"/>
          </w:tcPr>
          <w:p w14:paraId="23E1FAF5">
            <w:pPr>
              <w:jc w:val="center"/>
              <w:rPr>
                <w:rFonts w:ascii="黑体" w:hAnsi="黑体" w:eastAsia="黑体" w:cs="黑体"/>
                <w:szCs w:val="28"/>
              </w:rPr>
            </w:pPr>
          </w:p>
        </w:tc>
        <w:tc>
          <w:tcPr>
            <w:tcW w:w="815" w:type="dxa"/>
            <w:vAlign w:val="center"/>
          </w:tcPr>
          <w:p w14:paraId="2CAE6B13">
            <w:pPr>
              <w:jc w:val="center"/>
              <w:rPr>
                <w:rFonts w:ascii="黑体" w:hAnsi="黑体" w:eastAsia="黑体" w:cs="黑体"/>
                <w:szCs w:val="28"/>
              </w:rPr>
            </w:pPr>
          </w:p>
        </w:tc>
        <w:tc>
          <w:tcPr>
            <w:tcW w:w="2682" w:type="dxa"/>
            <w:vAlign w:val="center"/>
          </w:tcPr>
          <w:p w14:paraId="0508F5B5">
            <w:pPr>
              <w:jc w:val="center"/>
              <w:rPr>
                <w:rFonts w:ascii="黑体" w:hAnsi="黑体" w:eastAsia="黑体" w:cs="黑体"/>
                <w:szCs w:val="28"/>
              </w:rPr>
            </w:pPr>
          </w:p>
        </w:tc>
        <w:tc>
          <w:tcPr>
            <w:tcW w:w="2157" w:type="dxa"/>
            <w:vAlign w:val="center"/>
          </w:tcPr>
          <w:p w14:paraId="1DC9C176">
            <w:pPr>
              <w:jc w:val="center"/>
              <w:rPr>
                <w:rFonts w:ascii="黑体" w:hAnsi="黑体" w:eastAsia="黑体" w:cs="黑体"/>
                <w:szCs w:val="28"/>
              </w:rPr>
            </w:pPr>
          </w:p>
        </w:tc>
      </w:tr>
      <w:tr w14:paraId="5E53385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7" w:hRule="exact"/>
        </w:trPr>
        <w:tc>
          <w:tcPr>
            <w:tcW w:w="8318" w:type="dxa"/>
            <w:gridSpan w:val="5"/>
            <w:vAlign w:val="center"/>
          </w:tcPr>
          <w:p w14:paraId="5E4F7E49">
            <w:pPr>
              <w:jc w:val="left"/>
              <w:rPr>
                <w:rFonts w:ascii="黑体" w:hAnsi="黑体" w:eastAsia="黑体" w:cs="黑体"/>
                <w:szCs w:val="28"/>
              </w:rPr>
            </w:pPr>
            <w:r>
              <w:rPr>
                <w:rFonts w:hint="eastAsia" w:ascii="黑体" w:eastAsia="黑体" w:cs="Times New Roman"/>
                <w:bCs/>
                <w:szCs w:val="28"/>
              </w:rPr>
              <w:t>单位负责人</w:t>
            </w:r>
            <w:r>
              <w:rPr>
                <w:rFonts w:hint="eastAsia" w:ascii="Times New Roman" w:eastAsia="黑体" w:cs="Times New Roman"/>
                <w:bCs/>
                <w:szCs w:val="28"/>
              </w:rPr>
              <w:t xml:space="preserve">签字：                                      202  年   月   日 </w:t>
            </w:r>
          </w:p>
        </w:tc>
      </w:tr>
      <w:tr w14:paraId="7D853E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05" w:hRule="exact"/>
        </w:trPr>
        <w:tc>
          <w:tcPr>
            <w:tcW w:w="8318" w:type="dxa"/>
            <w:gridSpan w:val="5"/>
            <w:vAlign w:val="center"/>
          </w:tcPr>
          <w:p w14:paraId="4D43DC99">
            <w:pPr>
              <w:ind w:firstLine="1200" w:firstLineChars="500"/>
              <w:rPr>
                <w:rFonts w:ascii="黑体" w:hAnsi="黑体" w:eastAsia="黑体" w:cs="黑体"/>
                <w:bCs/>
                <w:szCs w:val="28"/>
              </w:rPr>
            </w:pPr>
            <w:r>
              <w:rPr>
                <w:rFonts w:ascii="Times New Roman" w:cs="Times New Roman"/>
                <w:sz w:val="24"/>
                <w:szCs w:val="20"/>
              </w:rPr>
              <mc:AlternateContent>
                <mc:Choice Requires="wps">
                  <w:drawing>
                    <wp:anchor distT="0" distB="0" distL="114300" distR="114300" simplePos="0" relativeHeight="251663360" behindDoc="0" locked="0" layoutInCell="1" allowOverlap="1">
                      <wp:simplePos x="0" y="0"/>
                      <wp:positionH relativeFrom="column">
                        <wp:posOffset>1952625</wp:posOffset>
                      </wp:positionH>
                      <wp:positionV relativeFrom="paragraph">
                        <wp:posOffset>292100</wp:posOffset>
                      </wp:positionV>
                      <wp:extent cx="1439545" cy="1439545"/>
                      <wp:effectExtent l="9525" t="9525" r="17780" b="17780"/>
                      <wp:wrapNone/>
                      <wp:docPr id="12" name="椭圆 12"/>
                      <wp:cNvGraphicFramePr/>
                      <a:graphic xmlns:a="http://schemas.openxmlformats.org/drawingml/2006/main">
                        <a:graphicData uri="http://schemas.microsoft.com/office/word/2010/wordprocessingShape">
                          <wps:wsp>
                            <wps:cNvSpPr>
                              <a:spLocks noChangeArrowheads="1"/>
                            </wps:cNvSpPr>
                            <wps:spPr bwMode="auto">
                              <a:xfrm>
                                <a:off x="0" y="0"/>
                                <a:ext cx="1439545" cy="1439545"/>
                              </a:xfrm>
                              <a:prstGeom prst="ellipse">
                                <a:avLst/>
                              </a:prstGeom>
                              <a:solidFill>
                                <a:srgbClr val="FFFFFF"/>
                              </a:solidFill>
                              <a:ln w="19050" cap="rnd">
                                <a:solidFill>
                                  <a:srgbClr val="000000"/>
                                </a:solidFill>
                                <a:prstDash val="sysDot"/>
                                <a:round/>
                              </a:ln>
                              <a:effectLst/>
                            </wps:spPr>
                            <wps:txbx>
                              <w:txbxContent>
                                <w:p w14:paraId="0786F425"/>
                              </w:txbxContent>
                            </wps:txbx>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153.75pt;margin-top:23pt;height:113.35pt;width:113.35pt;z-index:251663360;mso-width-relative:page;mso-height-relative:page;" fillcolor="#FFFFFF" filled="t" stroked="t" coordsize="21600,21600" o:gfxdata="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DK5/Z1gAAAAoBAAAPAAAAAAAA&#10;AAEAIAAAACIAAABkcnMvZG93bnJldi54bWxQSwECFAAUAAAACACHTuJAiqTr7U0CAACmBAAADgAA&#10;AAAAAAABACAAAAAlAQAAZHJzL2Uyb0RvYy54bWxQSwUGAAAAAAYABgBZAQAA5AUAAAAA&#10;">
                      <v:fill on="t" focussize="0,0"/>
                      <v:stroke weight="1.5pt" color="#000000" joinstyle="round" dashstyle="1 1" endcap="round"/>
                      <v:imagedata o:title=""/>
                      <o:lock v:ext="edit" aspectratio="f"/>
                      <v:textbox>
                        <w:txbxContent>
                          <w:p w14:paraId="0786F425"/>
                        </w:txbxContent>
                      </v:textbox>
                    </v:shape>
                  </w:pict>
                </mc:Fallback>
              </mc:AlternateContent>
            </w:r>
            <w:r>
              <w:rPr>
                <w:rFonts w:ascii="Times New Roman" w:cs="Times New Roman"/>
                <w:sz w:val="24"/>
                <w:szCs w:val="20"/>
              </w:rPr>
              <mc:AlternateContent>
                <mc:Choice Requires="wps">
                  <w:drawing>
                    <wp:anchor distT="0" distB="0" distL="114300" distR="114300" simplePos="0" relativeHeight="251662336" behindDoc="0" locked="0" layoutInCell="1" allowOverlap="1">
                      <wp:simplePos x="0" y="0"/>
                      <wp:positionH relativeFrom="column">
                        <wp:posOffset>288290</wp:posOffset>
                      </wp:positionH>
                      <wp:positionV relativeFrom="paragraph">
                        <wp:posOffset>320675</wp:posOffset>
                      </wp:positionV>
                      <wp:extent cx="1439545" cy="1439545"/>
                      <wp:effectExtent l="9525" t="9525" r="17780" b="17780"/>
                      <wp:wrapNone/>
                      <wp:docPr id="13" name="椭圆 13"/>
                      <wp:cNvGraphicFramePr/>
                      <a:graphic xmlns:a="http://schemas.openxmlformats.org/drawingml/2006/main">
                        <a:graphicData uri="http://schemas.microsoft.com/office/word/2010/wordprocessingShape">
                          <wps:wsp>
                            <wps:cNvSpPr>
                              <a:spLocks noChangeArrowheads="1"/>
                            </wps:cNvSpPr>
                            <wps:spPr bwMode="auto">
                              <a:xfrm>
                                <a:off x="0" y="0"/>
                                <a:ext cx="1439545" cy="1439545"/>
                              </a:xfrm>
                              <a:prstGeom prst="ellipse">
                                <a:avLst/>
                              </a:prstGeom>
                              <a:solidFill>
                                <a:srgbClr val="FFFFFF"/>
                              </a:solidFill>
                              <a:ln w="19050" cap="rnd">
                                <a:solidFill>
                                  <a:srgbClr val="000000"/>
                                </a:solidFill>
                                <a:prstDash val="sysDot"/>
                                <a:round/>
                              </a:ln>
                              <a:effectLst/>
                            </wps:spPr>
                            <wps:txbx>
                              <w:txbxContent>
                                <w:p w14:paraId="03AF921C"/>
                              </w:txbxContent>
                            </wps:txbx>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22.7pt;margin-top:25.25pt;height:113.35pt;width:113.35pt;z-index:251662336;mso-width-relative:page;mso-height-relative:page;" fillcolor="#FFFFFF" filled="t" stroked="t" coordsize="21600,21600" o:gfxdata="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xHH1v1AAAAAkBAAAPAAAAAAAAAAEA&#10;IAAAACIAAABkcnMvZG93bnJldi54bWxQSwECFAAUAAAACACHTuJA/grhUEwCAACmBAAADgAAAAAA&#10;AAABACAAAAAjAQAAZHJzL2Uyb0RvYy54bWxQSwUGAAAAAAYABgBZAQAA4QUAAAAA&#10;">
                      <v:fill on="t" focussize="0,0"/>
                      <v:stroke weight="1.5pt" color="#000000" joinstyle="round" dashstyle="1 1" endcap="round"/>
                      <v:imagedata o:title=""/>
                      <o:lock v:ext="edit" aspectratio="f"/>
                      <v:textbox>
                        <w:txbxContent>
                          <w:p w14:paraId="03AF921C"/>
                        </w:txbxContent>
                      </v:textbox>
                    </v:shape>
                  </w:pict>
                </mc:Fallback>
              </mc:AlternateContent>
            </w:r>
            <w:r>
              <w:rPr>
                <w:rFonts w:ascii="Times New Roman" w:cs="Times New Roman"/>
                <w:sz w:val="24"/>
                <w:szCs w:val="20"/>
              </w:rPr>
              <mc:AlternateContent>
                <mc:Choice Requires="wps">
                  <w:drawing>
                    <wp:anchor distT="0" distB="0" distL="114300" distR="114300" simplePos="0" relativeHeight="251661312" behindDoc="0" locked="0" layoutInCell="1" allowOverlap="1">
                      <wp:simplePos x="0" y="0"/>
                      <wp:positionH relativeFrom="column">
                        <wp:posOffset>3582670</wp:posOffset>
                      </wp:positionH>
                      <wp:positionV relativeFrom="paragraph">
                        <wp:posOffset>305435</wp:posOffset>
                      </wp:positionV>
                      <wp:extent cx="1439545" cy="1439545"/>
                      <wp:effectExtent l="9525" t="9525" r="17780" b="17780"/>
                      <wp:wrapNone/>
                      <wp:docPr id="14" name="椭圆 14"/>
                      <wp:cNvGraphicFramePr/>
                      <a:graphic xmlns:a="http://schemas.openxmlformats.org/drawingml/2006/main">
                        <a:graphicData uri="http://schemas.microsoft.com/office/word/2010/wordprocessingShape">
                          <wps:wsp>
                            <wps:cNvSpPr>
                              <a:spLocks noChangeArrowheads="1"/>
                            </wps:cNvSpPr>
                            <wps:spPr bwMode="auto">
                              <a:xfrm>
                                <a:off x="0" y="0"/>
                                <a:ext cx="1439545" cy="1439545"/>
                              </a:xfrm>
                              <a:prstGeom prst="ellipse">
                                <a:avLst/>
                              </a:prstGeom>
                              <a:solidFill>
                                <a:srgbClr val="FFFFFF"/>
                              </a:solidFill>
                              <a:ln w="19050" cap="rnd">
                                <a:solidFill>
                                  <a:srgbClr val="000000"/>
                                </a:solidFill>
                                <a:prstDash val="sysDot"/>
                                <a:round/>
                              </a:ln>
                              <a:effectLst/>
                            </wps:spPr>
                            <wps:txbx>
                              <w:txbxContent>
                                <w:p w14:paraId="78710209"/>
                              </w:txbxContent>
                            </wps:txbx>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282.1pt;margin-top:24.05pt;height:113.35pt;width:113.35pt;z-index:251661312;mso-width-relative:page;mso-height-relative:page;" fillcolor="#FFFFFF" filled="t" stroked="t" coordsize="21600,21600" o:gfxdata="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ZnnMrWAAAACgEAAA8AAAAAAAAA&#10;AQAgAAAAIgAAAGRycy9kb3ducmV2LnhtbFBLAQIUABQAAAAIAIdO4kAwTTbVTAIAAKYEAAAOAAAA&#10;AAAAAAEAIAAAACUBAABkcnMvZTJvRG9jLnhtbFBLBQYAAAAABgAGAFkBAADjBQAAAAA=&#10;">
                      <v:fill on="t" focussize="0,0"/>
                      <v:stroke weight="1.5pt" color="#000000" joinstyle="round" dashstyle="1 1" endcap="round"/>
                      <v:imagedata o:title=""/>
                      <o:lock v:ext="edit" aspectratio="f"/>
                      <v:textbox>
                        <w:txbxContent>
                          <w:p w14:paraId="78710209"/>
                        </w:txbxContent>
                      </v:textbox>
                    </v:shape>
                  </w:pict>
                </mc:Fallback>
              </mc:AlternateContent>
            </w:r>
          </w:p>
          <w:p w14:paraId="5F4AEF39">
            <w:pPr>
              <w:pStyle w:val="3"/>
              <w:rPr>
                <w:rFonts w:ascii="黑体" w:hAnsi="黑体" w:eastAsia="黑体" w:cs="黑体"/>
                <w:bCs/>
                <w:szCs w:val="28"/>
              </w:rPr>
            </w:pPr>
          </w:p>
          <w:p w14:paraId="4BBC8B0E">
            <w:pPr>
              <w:pStyle w:val="3"/>
              <w:rPr>
                <w:rFonts w:ascii="黑体" w:hAnsi="黑体" w:eastAsia="黑体" w:cs="黑体"/>
                <w:bCs/>
                <w:szCs w:val="28"/>
              </w:rPr>
            </w:pPr>
          </w:p>
          <w:p w14:paraId="62B87F47">
            <w:pPr>
              <w:pStyle w:val="3"/>
              <w:rPr>
                <w:rFonts w:ascii="黑体" w:hAnsi="黑体" w:eastAsia="黑体" w:cs="黑体"/>
                <w:bCs/>
                <w:szCs w:val="28"/>
              </w:rPr>
            </w:pPr>
          </w:p>
          <w:p w14:paraId="6A936CDC">
            <w:pPr>
              <w:pStyle w:val="3"/>
              <w:rPr>
                <w:rFonts w:ascii="黑体" w:hAnsi="黑体" w:eastAsia="黑体" w:cs="黑体"/>
                <w:bCs/>
                <w:szCs w:val="28"/>
              </w:rPr>
            </w:pPr>
          </w:p>
          <w:p w14:paraId="48C23A60">
            <w:pPr>
              <w:ind w:firstLine="1050" w:firstLineChars="500"/>
              <w:rPr>
                <w:rFonts w:ascii="黑体" w:hAnsi="黑体" w:eastAsia="黑体" w:cs="黑体"/>
                <w:bCs/>
                <w:szCs w:val="28"/>
              </w:rPr>
            </w:pPr>
          </w:p>
          <w:p w14:paraId="6420E9D7">
            <w:pPr>
              <w:ind w:firstLine="1050" w:firstLineChars="500"/>
              <w:rPr>
                <w:rFonts w:ascii="黑体" w:hAnsi="黑体" w:eastAsia="黑体" w:cs="黑体"/>
                <w:bCs/>
                <w:szCs w:val="28"/>
              </w:rPr>
            </w:pPr>
          </w:p>
          <w:p w14:paraId="5A7300E6">
            <w:pPr>
              <w:ind w:firstLine="1050" w:firstLineChars="500"/>
              <w:rPr>
                <w:rFonts w:ascii="黑体" w:hAnsi="黑体" w:eastAsia="黑体" w:cs="黑体"/>
                <w:bCs/>
                <w:szCs w:val="28"/>
              </w:rPr>
            </w:pPr>
          </w:p>
          <w:p w14:paraId="2634E951">
            <w:pPr>
              <w:pStyle w:val="3"/>
            </w:pPr>
          </w:p>
          <w:p w14:paraId="2F0EE123">
            <w:pPr>
              <w:pStyle w:val="3"/>
            </w:pPr>
          </w:p>
          <w:p w14:paraId="5E11B97D">
            <w:pPr>
              <w:ind w:firstLine="420" w:firstLineChars="200"/>
              <w:rPr>
                <w:rFonts w:ascii="黑体" w:hAnsi="黑体" w:eastAsia="黑体" w:cs="黑体"/>
                <w:bCs/>
                <w:szCs w:val="28"/>
              </w:rPr>
            </w:pPr>
            <w:r>
              <w:rPr>
                <w:rFonts w:hint="eastAsia" w:ascii="黑体" w:hAnsi="黑体" w:eastAsia="黑体" w:cs="黑体"/>
                <w:bCs/>
                <w:szCs w:val="28"/>
              </w:rPr>
              <w:t xml:space="preserve">体育行政主管部门公章    </w:t>
            </w:r>
            <w:r>
              <w:rPr>
                <w:rFonts w:ascii="黑体" w:hAnsi="黑体" w:eastAsia="黑体" w:cs="黑体"/>
                <w:bCs/>
                <w:szCs w:val="28"/>
              </w:rPr>
              <w:t xml:space="preserve">   </w:t>
            </w:r>
            <w:r>
              <w:rPr>
                <w:rFonts w:hint="eastAsia" w:ascii="黑体" w:hAnsi="黑体" w:eastAsia="黑体" w:cs="黑体"/>
                <w:bCs/>
                <w:szCs w:val="28"/>
              </w:rPr>
              <w:t xml:space="preserve">球队责任主体单位盖章 </w:t>
            </w:r>
            <w:r>
              <w:rPr>
                <w:rFonts w:ascii="黑体" w:hAnsi="黑体" w:eastAsia="黑体" w:cs="黑体"/>
                <w:bCs/>
                <w:szCs w:val="28"/>
              </w:rPr>
              <w:t xml:space="preserve">    </w:t>
            </w:r>
            <w:r>
              <w:rPr>
                <w:rFonts w:hint="eastAsia" w:ascii="黑体" w:hAnsi="黑体" w:eastAsia="黑体" w:cs="黑体"/>
                <w:bCs/>
                <w:szCs w:val="28"/>
              </w:rPr>
              <w:t xml:space="preserve">   医疗证明公章</w:t>
            </w:r>
          </w:p>
          <w:p w14:paraId="68A2C713">
            <w:pPr>
              <w:ind w:firstLine="420" w:firstLineChars="200"/>
              <w:rPr>
                <w:rFonts w:ascii="黑体" w:hAnsi="黑体" w:eastAsia="黑体" w:cs="黑体"/>
                <w:bCs/>
                <w:szCs w:val="28"/>
              </w:rPr>
            </w:pPr>
            <w:r>
              <w:rPr>
                <w:rFonts w:hint="eastAsia" w:ascii="黑体" w:hAnsi="黑体" w:eastAsia="黑体" w:cs="黑体"/>
                <w:bCs/>
                <w:szCs w:val="28"/>
              </w:rPr>
              <w:t xml:space="preserve">     （如需要）                   （必须）            （或提交体检表）</w:t>
            </w:r>
          </w:p>
        </w:tc>
      </w:tr>
    </w:tbl>
    <w:p w14:paraId="0758C75E">
      <w:pPr>
        <w:adjustRightInd w:val="0"/>
        <w:rPr>
          <w:rFonts w:ascii="黑体" w:hAnsi="黑体" w:eastAsia="黑体"/>
          <w:sz w:val="32"/>
          <w:szCs w:val="32"/>
        </w:rPr>
      </w:pPr>
    </w:p>
    <w:p w14:paraId="1275D3F2">
      <w:pPr>
        <w:adjustRightInd w:val="0"/>
      </w:pPr>
    </w:p>
    <w:p w14:paraId="100EF40D">
      <w:pPr>
        <w:adjustRightInd w:val="0"/>
      </w:pPr>
    </w:p>
    <w:p w14:paraId="1948FA71">
      <w:pPr>
        <w:adjustRightInd w:val="0"/>
      </w:pPr>
    </w:p>
    <w:p w14:paraId="346B1A14">
      <w:pPr>
        <w:adjustRightInd w:val="0"/>
      </w:pPr>
    </w:p>
    <w:p w14:paraId="45180EC9">
      <w:pPr>
        <w:adjustRightInd w:val="0"/>
      </w:pPr>
    </w:p>
    <w:p w14:paraId="42799A85">
      <w:pPr>
        <w:adjustRightInd w:val="0"/>
      </w:pPr>
    </w:p>
    <w:p w14:paraId="5C62A5DB">
      <w:pPr>
        <w:adjustRightInd w:val="0"/>
      </w:pPr>
    </w:p>
    <w:p w14:paraId="1B4E389D">
      <w:pPr>
        <w:adjustRightInd w:val="0"/>
      </w:pPr>
    </w:p>
    <w:p w14:paraId="4CD15288">
      <w:pPr>
        <w:adjustRightInd w:val="0"/>
      </w:pPr>
    </w:p>
    <w:p w14:paraId="75FD3F84">
      <w:pPr>
        <w:adjustRightInd w:val="0"/>
      </w:pPr>
    </w:p>
    <w:p w14:paraId="05680C81">
      <w:pPr>
        <w:adjustRightInd w:val="0"/>
      </w:pPr>
    </w:p>
    <w:p w14:paraId="52B17020">
      <w:pPr>
        <w:adjustRightInd w:val="0"/>
      </w:pPr>
    </w:p>
    <w:p w14:paraId="3A916255">
      <w:pPr>
        <w:adjustRightInd w:val="0"/>
      </w:pPr>
    </w:p>
    <w:p w14:paraId="3BE0A264">
      <w:pPr>
        <w:adjustRightInd w:val="0"/>
      </w:pPr>
    </w:p>
    <w:p w14:paraId="0A07BA84">
      <w:pPr>
        <w:adjustRightInd w:val="0"/>
      </w:pPr>
    </w:p>
    <w:p w14:paraId="76E7554D">
      <w:pPr>
        <w:adjustRightInd w:val="0"/>
      </w:pPr>
    </w:p>
    <w:p w14:paraId="15D683E7">
      <w:pPr>
        <w:adjustRightInd w:val="0"/>
      </w:pPr>
    </w:p>
    <w:p w14:paraId="06647DBB">
      <w:pPr>
        <w:adjustRightInd w:val="0"/>
      </w:pPr>
    </w:p>
    <w:p w14:paraId="4A9A9888">
      <w:pPr>
        <w:adjustRightInd w:val="0"/>
      </w:pPr>
    </w:p>
    <w:p w14:paraId="4568E6F0">
      <w:pPr>
        <w:adjustRightInd w:val="0"/>
      </w:pPr>
    </w:p>
    <w:p w14:paraId="2580751C">
      <w:pPr>
        <w:adjustRightInd w:val="0"/>
      </w:pPr>
    </w:p>
    <w:p w14:paraId="4273797E">
      <w:pPr>
        <w:adjustRightInd w:val="0"/>
      </w:pPr>
    </w:p>
    <w:p w14:paraId="5ABBFC15">
      <w:pPr>
        <w:adjustRightInd w:val="0"/>
      </w:pPr>
    </w:p>
    <w:p w14:paraId="12631A04">
      <w:pPr>
        <w:adjustRightInd w:val="0"/>
      </w:pPr>
    </w:p>
    <w:p w14:paraId="13DFA1D3">
      <w:pPr>
        <w:adjustRightInd w:val="0"/>
      </w:pPr>
    </w:p>
    <w:p w14:paraId="504759E2">
      <w:pPr>
        <w:adjustRightInd w:val="0"/>
      </w:pPr>
    </w:p>
    <w:p w14:paraId="21ADA557">
      <w:pPr>
        <w:adjustRightInd w:val="0"/>
      </w:pPr>
    </w:p>
    <w:p w14:paraId="32AE8803">
      <w:pPr>
        <w:adjustRightInd w:val="0"/>
      </w:pPr>
    </w:p>
    <w:p w14:paraId="0416713D">
      <w:pPr>
        <w:adjustRightInd w:val="0"/>
      </w:pPr>
    </w:p>
    <w:p w14:paraId="1DB1BE6F">
      <w:pPr>
        <w:adjustRightInd w:val="0"/>
      </w:pPr>
    </w:p>
    <w:p w14:paraId="05C13228">
      <w:pPr>
        <w:adjustRightInd w:val="0"/>
      </w:pPr>
    </w:p>
    <w:p w14:paraId="0A55AA2B">
      <w:pPr>
        <w:adjustRightInd w:val="0"/>
      </w:pPr>
    </w:p>
    <w:p w14:paraId="6922480F">
      <w:pPr>
        <w:adjustRightInd w:val="0"/>
      </w:pPr>
    </w:p>
    <w:p w14:paraId="120550CC">
      <w:pPr>
        <w:jc w:val="left"/>
        <w:rPr>
          <w:rFonts w:ascii="华文中宋" w:hAnsi="华文中宋" w:eastAsia="华文中宋" w:cstheme="majorEastAsia"/>
          <w:b/>
          <w:sz w:val="36"/>
          <w:szCs w:val="32"/>
        </w:rPr>
      </w:pPr>
      <w:r>
        <w:rPr>
          <w:rFonts w:hint="eastAsia" w:ascii="华文中宋" w:hAnsi="华文中宋" w:eastAsia="华文中宋" w:cstheme="majorEastAsia"/>
          <w:b/>
          <w:sz w:val="36"/>
          <w:szCs w:val="32"/>
        </w:rPr>
        <w:br w:type="page"/>
      </w:r>
    </w:p>
    <w:p w14:paraId="53AC8499">
      <w:pPr>
        <w:adjustRightInd w:val="0"/>
      </w:pPr>
    </w:p>
    <w:p w14:paraId="7C4ADB12">
      <w:pPr>
        <w:spacing w:line="560" w:lineRule="exact"/>
        <w:rPr>
          <w:rFonts w:ascii="黑体" w:hAnsi="黑体" w:eastAsia="黑体" w:cs="黑体"/>
          <w:sz w:val="32"/>
          <w:szCs w:val="32"/>
        </w:rPr>
      </w:pPr>
      <w:r>
        <w:rPr>
          <w:rFonts w:hint="eastAsia" w:ascii="黑体" w:hAnsi="黑体" w:eastAsia="黑体" w:cs="黑体"/>
          <w:sz w:val="32"/>
          <w:szCs w:val="32"/>
        </w:rPr>
        <w:t>附件6</w:t>
      </w:r>
    </w:p>
    <w:p w14:paraId="1E27EDA5">
      <w:pPr>
        <w:spacing w:line="560" w:lineRule="exact"/>
        <w:jc w:val="center"/>
        <w:rPr>
          <w:rFonts w:ascii="宋体" w:hAnsi="宋体" w:eastAsia="宋体"/>
          <w:b/>
          <w:bCs/>
          <w:sz w:val="44"/>
          <w:szCs w:val="44"/>
        </w:rPr>
      </w:pPr>
      <w:r>
        <w:rPr>
          <w:rFonts w:hint="eastAsia" w:ascii="宋体" w:hAnsi="宋体" w:eastAsia="宋体"/>
          <w:b/>
          <w:bCs/>
          <w:sz w:val="44"/>
          <w:szCs w:val="44"/>
        </w:rPr>
        <w:t>中国篮球协会参赛球队参赛承诺书</w:t>
      </w:r>
    </w:p>
    <w:p w14:paraId="07D285A1">
      <w:pPr>
        <w:spacing w:line="560" w:lineRule="exact"/>
        <w:jc w:val="center"/>
        <w:rPr>
          <w:rFonts w:ascii="宋体" w:hAnsi="宋体" w:eastAsia="宋体"/>
          <w:b/>
          <w:bCs/>
          <w:sz w:val="44"/>
          <w:szCs w:val="44"/>
        </w:rPr>
      </w:pPr>
    </w:p>
    <w:p w14:paraId="3EF4DD41">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为加强对XX 篮球赛事的赛风赛纪和反兴奋剂工作的管理和监督，规范各篮球队参赛行为，确保赛事顺利进行，制订本责任书。</w:t>
      </w:r>
    </w:p>
    <w:p w14:paraId="37407531">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本责任书由中国篮协与参赛篮球队签订。球队赛风赛纪和反兴奋剂工作的第一责任人是领队和主教练。各篮球队要充分认识抓好赛风赛纪和反兴奋剂工作的重要性，制订切实有效的措施，加强管理和教育，确保赛事顺利进行。</w:t>
      </w:r>
    </w:p>
    <w:p w14:paraId="0EA00793">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各篮球队在参加赛事</w:t>
      </w:r>
      <w:r>
        <w:rPr>
          <w:rFonts w:hint="eastAsia" w:ascii="仿宋" w:hAnsi="仿宋" w:eastAsia="仿宋" w:cs="Arial"/>
          <w:sz w:val="30"/>
          <w:szCs w:val="30"/>
          <w:lang w:val="en-US" w:eastAsia="zh-CN"/>
        </w:rPr>
        <w:t>活动</w:t>
      </w:r>
      <w:r>
        <w:rPr>
          <w:rFonts w:hint="eastAsia" w:ascii="仿宋" w:hAnsi="仿宋" w:eastAsia="仿宋" w:cs="Arial"/>
          <w:sz w:val="30"/>
          <w:szCs w:val="30"/>
        </w:rPr>
        <w:t>过程中负有以下工作责任：</w:t>
      </w:r>
    </w:p>
    <w:p w14:paraId="0A22105B">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（一）严格遵守国家法律法规和国家体育总局的有关规定，自觉维护体育竞赛的公平、公正，遵守赛事纪律，文明参赛。</w:t>
      </w:r>
    </w:p>
    <w:p w14:paraId="49F79938">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（二）加强赛风赛纪和反兴奋剂的宣传、教育和管理，引导运动员树立正确、积极、健康的道德观、价值观和参赛观，</w:t>
      </w:r>
      <w:r>
        <w:rPr>
          <w:rFonts w:ascii="仿宋" w:hAnsi="仿宋" w:eastAsia="仿宋" w:cs="Arial"/>
          <w:sz w:val="30"/>
          <w:szCs w:val="30"/>
        </w:rPr>
        <w:t>保护运动员的身心健康，维护</w:t>
      </w:r>
      <w:r>
        <w:rPr>
          <w:rFonts w:hint="eastAsia" w:ascii="仿宋" w:hAnsi="仿宋" w:eastAsia="仿宋" w:cs="Arial"/>
          <w:sz w:val="30"/>
          <w:szCs w:val="30"/>
        </w:rPr>
        <w:t>和弘扬</w:t>
      </w:r>
      <w:r>
        <w:rPr>
          <w:rFonts w:ascii="仿宋" w:hAnsi="仿宋" w:eastAsia="仿宋" w:cs="Arial"/>
          <w:sz w:val="30"/>
          <w:szCs w:val="30"/>
        </w:rPr>
        <w:t>公平竞</w:t>
      </w:r>
      <w:r>
        <w:rPr>
          <w:rFonts w:hint="eastAsia" w:ascii="仿宋" w:hAnsi="仿宋" w:eastAsia="仿宋" w:cs="Arial"/>
          <w:sz w:val="30"/>
          <w:szCs w:val="30"/>
        </w:rPr>
        <w:t>赛</w:t>
      </w:r>
      <w:r>
        <w:rPr>
          <w:rFonts w:ascii="仿宋" w:hAnsi="仿宋" w:eastAsia="仿宋" w:cs="Arial"/>
          <w:sz w:val="30"/>
          <w:szCs w:val="30"/>
        </w:rPr>
        <w:t>的体育道德</w:t>
      </w:r>
      <w:r>
        <w:rPr>
          <w:rFonts w:hint="eastAsia" w:ascii="仿宋" w:hAnsi="仿宋" w:eastAsia="仿宋" w:cs="Arial"/>
          <w:sz w:val="30"/>
          <w:szCs w:val="30"/>
        </w:rPr>
        <w:t>与精神，同心协力，齐抓共管，干净参赛。</w:t>
      </w:r>
    </w:p>
    <w:p w14:paraId="42B43B27">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（三）严格遵守《XX 赛事竞赛规程》以及篮球项目有关规定，保证运动员参赛资格真实有效，不弄虚作假。</w:t>
      </w:r>
    </w:p>
    <w:p w14:paraId="03F5B3BD">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（四）严格遵守《反兴奋剂管理办法》等有关规定，建立健全反兴奋剂工作组织机构，配备专人负责，明确工作责任与任务，保证相关措施落到实处。确保参加的比赛不发生兴奋剂违规事件。</w:t>
      </w:r>
    </w:p>
    <w:p w14:paraId="2AD5B57F">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（五）高度重视参赛安全工作，强化安全意识，落实主体责任，加强对篮球队所有成员的安全教育，深入排查并有效化解各类安全风险，坚决遏制重大安全事故发生。</w:t>
      </w:r>
    </w:p>
    <w:p w14:paraId="143469B9">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（六）及时发布相关信息，营造积极健康的舆论环境。不对外散布不符合事实和不负责任的言论，确保发布信息真实、客观、公正。</w:t>
      </w:r>
    </w:p>
    <w:p w14:paraId="2E5B2321">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（七）在篮球比赛中严禁出现以下行为：</w:t>
      </w:r>
    </w:p>
    <w:p w14:paraId="0FCAD443">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1.违反运动员参赛资格有关规定，在运动员资格上弄虚作假的；</w:t>
      </w:r>
    </w:p>
    <w:p w14:paraId="330EE999">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2.违背体育道德进行虚假比赛或操纵比赛的；</w:t>
      </w:r>
    </w:p>
    <w:p w14:paraId="1A89FB64">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3.为谋求不正当参赛利益，向组委会、竞委会管理人员、技术官员、裁判员等竞赛组织人员赠送现金、有价证券、贵重物品等，或安排宴请、高档娱乐等消费活动的；</w:t>
      </w:r>
    </w:p>
    <w:p w14:paraId="6A13FB1D">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4.不服从裁判员判罚，指责、谩骂、攻击裁判员，干扰裁判员正常执裁的；</w:t>
      </w:r>
    </w:p>
    <w:p w14:paraId="360BAF7C">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5.在比赛中违背体育精神和体育道德，使用小动作、坏动作、报复性动作，故意干扰影响他人正常参赛的；</w:t>
      </w:r>
    </w:p>
    <w:p w14:paraId="28D6B04D">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6.故意拖延比赛时间，闹赛、罢赛、无故弃权、拒绝领奖，扰乱赛场秩序的；</w:t>
      </w:r>
    </w:p>
    <w:p w14:paraId="706FA3D0">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7.辱骂对手、打架斗殴、故意伤人；</w:t>
      </w:r>
    </w:p>
    <w:p w14:paraId="671A3889">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8.组织、煽动观众滋事闹事、干扰比赛，发表涉及歧视言论，对观众进行不礼貌行为的；</w:t>
      </w:r>
    </w:p>
    <w:p w14:paraId="525718BE">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9.发表不实言论，误导媒体和公众行为的；</w:t>
      </w:r>
    </w:p>
    <w:p w14:paraId="78BC0249">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10.因队伍管理不力，或应急处置不及时、不妥当，造成发生重特大安全事故的；</w:t>
      </w:r>
    </w:p>
    <w:p w14:paraId="6F93B0F2">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11.其他影响赛事形象和比赛正常进行的行为。</w:t>
      </w:r>
    </w:p>
    <w:p w14:paraId="25BBFFF9">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（八）篮球队在赛事期间，发生以上赛风赛纪违规行为并经查实后，除按照《中国篮</w:t>
      </w:r>
      <w:r>
        <w:rPr>
          <w:rFonts w:hint="eastAsia" w:ascii="仿宋" w:hAnsi="仿宋" w:eastAsia="仿宋" w:cs="Arial"/>
          <w:sz w:val="30"/>
          <w:szCs w:val="30"/>
          <w:lang w:val="en-US" w:eastAsia="zh-CN"/>
        </w:rPr>
        <w:t>球</w:t>
      </w:r>
      <w:r>
        <w:rPr>
          <w:rFonts w:hint="eastAsia" w:ascii="仿宋" w:hAnsi="仿宋" w:eastAsia="仿宋" w:cs="Arial"/>
          <w:sz w:val="30"/>
          <w:szCs w:val="30"/>
        </w:rPr>
        <w:t>协</w:t>
      </w:r>
      <w:r>
        <w:rPr>
          <w:rFonts w:hint="eastAsia" w:ascii="仿宋" w:hAnsi="仿宋" w:eastAsia="仿宋" w:cs="Arial"/>
          <w:sz w:val="30"/>
          <w:szCs w:val="30"/>
          <w:lang w:val="en-US" w:eastAsia="zh-CN"/>
        </w:rPr>
        <w:t>会</w:t>
      </w:r>
      <w:r>
        <w:rPr>
          <w:rFonts w:hint="eastAsia" w:ascii="仿宋" w:hAnsi="仿宋" w:eastAsia="仿宋" w:cs="Arial"/>
          <w:sz w:val="30"/>
          <w:szCs w:val="30"/>
        </w:rPr>
        <w:t>纪律准则和处罚规定》外，还将视违规情节轻重以及影响，通告参赛篮球队所属上级管理单位。涉及违反党纪、政纪和国家法律的，将依照国家有关法律、法规另行追究党纪、政纪和法律责任。</w:t>
      </w:r>
    </w:p>
    <w:p w14:paraId="3C8F4F17">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九）参赛队及参赛队员须遵守国家相关法律法规、遵守比赛规定，充分了解篮球比赛具有的潜在的风险，以及可能由此导致的受伤和事故。确保本队队员的身体健康，没有不适合篮球运动的疾病，可以正常参加比赛。如有违反，自行承担因此产生的一切责任。</w:t>
      </w:r>
    </w:p>
    <w:p w14:paraId="5B1A7E26">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十）对赛事中发生的不可预见的问题和纠纷,要本着维护大局和整体利益出发与中国篮协、举办单位和有关部门，友好协商解决。对比赛出现的问题，按《篮球规则》、《XX竞赛规程》及中国篮协有关规定程序，进行申诉和处理。</w:t>
      </w:r>
    </w:p>
    <w:p w14:paraId="13CFF3A6">
      <w:pPr>
        <w:pStyle w:val="11"/>
        <w:widowControl w:val="0"/>
        <w:spacing w:before="0" w:beforeAutospacing="0" w:after="0" w:afterAutospacing="0" w:line="560" w:lineRule="exact"/>
        <w:ind w:firstLine="708" w:firstLineChars="236"/>
        <w:jc w:val="both"/>
        <w:rPr>
          <w:rFonts w:ascii="仿宋" w:hAnsi="仿宋" w:eastAsia="仿宋" w:cs="Arial"/>
          <w:sz w:val="30"/>
          <w:szCs w:val="30"/>
        </w:rPr>
      </w:pPr>
      <w:r>
        <w:rPr>
          <w:rFonts w:hint="eastAsia" w:ascii="仿宋" w:hAnsi="仿宋" w:eastAsia="仿宋" w:cs="Arial"/>
          <w:sz w:val="30"/>
          <w:szCs w:val="30"/>
        </w:rPr>
        <w:t>（十一）本责任书一式两份，签字后生效。中国篮协、参赛篮球队各存一份。</w:t>
      </w:r>
    </w:p>
    <w:p w14:paraId="04A9AA88">
      <w:pPr>
        <w:pStyle w:val="11"/>
        <w:spacing w:before="0" w:beforeAutospacing="0" w:after="0" w:afterAutospacing="0" w:line="560" w:lineRule="exact"/>
        <w:ind w:firstLine="708" w:firstLineChars="236"/>
        <w:rPr>
          <w:rFonts w:ascii="仿宋" w:hAnsi="仿宋" w:eastAsia="仿宋" w:cs="Arial"/>
          <w:sz w:val="30"/>
          <w:szCs w:val="30"/>
        </w:rPr>
      </w:pPr>
      <w:r>
        <w:rPr>
          <w:rFonts w:hint="eastAsia" w:ascii="仿宋" w:hAnsi="仿宋" w:eastAsia="仿宋" w:cs="Arial"/>
          <w:sz w:val="30"/>
          <w:szCs w:val="30"/>
        </w:rPr>
        <w:t>_______  篮球队                    中国篮球协会</w:t>
      </w:r>
    </w:p>
    <w:p w14:paraId="01158494">
      <w:pPr>
        <w:pStyle w:val="11"/>
        <w:spacing w:before="0" w:beforeAutospacing="0" w:after="0" w:afterAutospacing="0" w:line="560" w:lineRule="exact"/>
        <w:ind w:firstLine="708" w:firstLineChars="236"/>
        <w:rPr>
          <w:rFonts w:ascii="仿宋" w:hAnsi="仿宋" w:eastAsia="仿宋" w:cs="Arial"/>
          <w:sz w:val="30"/>
          <w:szCs w:val="30"/>
        </w:rPr>
      </w:pPr>
      <w:r>
        <w:rPr>
          <w:rFonts w:hint="eastAsia" w:ascii="仿宋" w:hAnsi="仿宋" w:eastAsia="仿宋" w:cs="Arial"/>
          <w:sz w:val="30"/>
          <w:szCs w:val="30"/>
        </w:rPr>
        <w:t>领队签字：                         盖章：</w:t>
      </w:r>
    </w:p>
    <w:p w14:paraId="7DF96511">
      <w:pPr>
        <w:pStyle w:val="11"/>
        <w:spacing w:before="0" w:beforeAutospacing="0" w:after="0" w:afterAutospacing="0" w:line="560" w:lineRule="exact"/>
        <w:ind w:firstLine="708" w:firstLineChars="236"/>
        <w:rPr>
          <w:rFonts w:ascii="仿宋" w:hAnsi="仿宋" w:eastAsia="仿宋" w:cs="Arial"/>
          <w:sz w:val="30"/>
          <w:szCs w:val="30"/>
        </w:rPr>
      </w:pPr>
      <w:r>
        <w:rPr>
          <w:rFonts w:hint="eastAsia" w:ascii="仿宋" w:hAnsi="仿宋" w:eastAsia="仿宋" w:cs="Arial"/>
          <w:sz w:val="30"/>
          <w:szCs w:val="30"/>
        </w:rPr>
        <w:t>主教练：</w:t>
      </w:r>
    </w:p>
    <w:p w14:paraId="21CB9FD7">
      <w:pPr>
        <w:pStyle w:val="11"/>
        <w:spacing w:before="0" w:beforeAutospacing="0" w:after="0" w:afterAutospacing="0" w:line="560" w:lineRule="exact"/>
        <w:ind w:firstLine="708" w:firstLineChars="236"/>
        <w:rPr>
          <w:rFonts w:ascii="仿宋" w:hAnsi="仿宋" w:eastAsia="仿宋" w:cs="Arial"/>
          <w:sz w:val="30"/>
          <w:szCs w:val="30"/>
        </w:rPr>
      </w:pPr>
      <w:r>
        <w:rPr>
          <w:rFonts w:hint="eastAsia" w:ascii="仿宋" w:hAnsi="仿宋" w:eastAsia="仿宋" w:cs="Arial"/>
          <w:sz w:val="30"/>
          <w:szCs w:val="30"/>
        </w:rPr>
        <w:t>20   年   月   日                20  年   月   日</w:t>
      </w:r>
    </w:p>
    <w:p w14:paraId="24926F53">
      <w:pPr>
        <w:adjustRightInd w:val="0"/>
        <w:ind w:firstLine="379"/>
        <w:jc w:val="left"/>
      </w:pPr>
    </w:p>
    <w:sectPr>
      <w:pgSz w:w="11906" w:h="16838"/>
      <w:pgMar w:top="1701" w:right="1474" w:bottom="113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5507159"/>
    </w:sdtPr>
    <w:sdtContent>
      <w:p w14:paraId="162314EB">
        <w:pPr>
          <w:pStyle w:val="9"/>
          <w:jc w:val="right"/>
        </w:pPr>
        <w:r>
          <w:fldChar w:fldCharType="begin"/>
        </w:r>
        <w:r>
          <w:instrText xml:space="preserve">PAGE   \* MERGEFORMAT</w:instrText>
        </w:r>
        <w:r>
          <w:fldChar w:fldCharType="separate"/>
        </w:r>
        <w:r>
          <w:rPr>
            <w:lang w:val="zh-CN"/>
          </w:rPr>
          <w:t>48</w:t>
        </w:r>
        <w:r>
          <w:rPr>
            <w:lang w:val="zh-CN"/>
          </w:rPr>
          <w:fldChar w:fldCharType="end"/>
        </w:r>
      </w:p>
    </w:sdtContent>
  </w:sdt>
  <w:p w14:paraId="4C08DC34">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783BA4"/>
    <w:multiLevelType w:val="multilevel"/>
    <w:tmpl w:val="46783BA4"/>
    <w:lvl w:ilvl="0" w:tentative="0">
      <w:start w:val="1"/>
      <w:numFmt w:val="japaneseCounting"/>
      <w:lvlText w:val="第%1章"/>
      <w:lvlJc w:val="left"/>
      <w:pPr>
        <w:ind w:left="3233" w:hanging="1248"/>
      </w:pPr>
      <w:rPr>
        <w:rFonts w:ascii="宋体" w:hAnsi="宋体" w:eastAsia="宋体" w:cs="Times New Roman"/>
      </w:rPr>
    </w:lvl>
    <w:lvl w:ilvl="1" w:tentative="0">
      <w:start w:val="1"/>
      <w:numFmt w:val="lowerLetter"/>
      <w:lvlText w:val="%2)"/>
      <w:lvlJc w:val="left"/>
      <w:pPr>
        <w:ind w:left="2825" w:hanging="420"/>
      </w:pPr>
    </w:lvl>
    <w:lvl w:ilvl="2" w:tentative="0">
      <w:start w:val="1"/>
      <w:numFmt w:val="lowerRoman"/>
      <w:lvlText w:val="%3."/>
      <w:lvlJc w:val="right"/>
      <w:pPr>
        <w:ind w:left="3245" w:hanging="420"/>
      </w:pPr>
    </w:lvl>
    <w:lvl w:ilvl="3" w:tentative="0">
      <w:start w:val="1"/>
      <w:numFmt w:val="decimal"/>
      <w:lvlText w:val="%4."/>
      <w:lvlJc w:val="left"/>
      <w:pPr>
        <w:ind w:left="3665" w:hanging="420"/>
      </w:pPr>
    </w:lvl>
    <w:lvl w:ilvl="4" w:tentative="0">
      <w:start w:val="1"/>
      <w:numFmt w:val="lowerLetter"/>
      <w:lvlText w:val="%5)"/>
      <w:lvlJc w:val="left"/>
      <w:pPr>
        <w:ind w:left="4085" w:hanging="420"/>
      </w:pPr>
    </w:lvl>
    <w:lvl w:ilvl="5" w:tentative="0">
      <w:start w:val="1"/>
      <w:numFmt w:val="lowerRoman"/>
      <w:lvlText w:val="%6."/>
      <w:lvlJc w:val="right"/>
      <w:pPr>
        <w:ind w:left="4505" w:hanging="420"/>
      </w:pPr>
    </w:lvl>
    <w:lvl w:ilvl="6" w:tentative="0">
      <w:start w:val="1"/>
      <w:numFmt w:val="decimal"/>
      <w:lvlText w:val="%7."/>
      <w:lvlJc w:val="left"/>
      <w:pPr>
        <w:ind w:left="4925" w:hanging="420"/>
      </w:pPr>
    </w:lvl>
    <w:lvl w:ilvl="7" w:tentative="0">
      <w:start w:val="1"/>
      <w:numFmt w:val="lowerLetter"/>
      <w:lvlText w:val="%8)"/>
      <w:lvlJc w:val="left"/>
      <w:pPr>
        <w:ind w:left="5345" w:hanging="420"/>
      </w:pPr>
    </w:lvl>
    <w:lvl w:ilvl="8" w:tentative="0">
      <w:start w:val="1"/>
      <w:numFmt w:val="lowerRoman"/>
      <w:lvlText w:val="%9."/>
      <w:lvlJc w:val="right"/>
      <w:pPr>
        <w:ind w:left="576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9167FC"/>
    <w:rsid w:val="000116D5"/>
    <w:rsid w:val="00014E32"/>
    <w:rsid w:val="0002156C"/>
    <w:rsid w:val="00032075"/>
    <w:rsid w:val="0007786E"/>
    <w:rsid w:val="00081CB2"/>
    <w:rsid w:val="00085681"/>
    <w:rsid w:val="00094BC2"/>
    <w:rsid w:val="000957B2"/>
    <w:rsid w:val="000A31BF"/>
    <w:rsid w:val="000A6D83"/>
    <w:rsid w:val="000B1BFE"/>
    <w:rsid w:val="000B2333"/>
    <w:rsid w:val="000D189C"/>
    <w:rsid w:val="000F69B6"/>
    <w:rsid w:val="00104AAE"/>
    <w:rsid w:val="00116A1D"/>
    <w:rsid w:val="00130DAE"/>
    <w:rsid w:val="0014504A"/>
    <w:rsid w:val="001503F7"/>
    <w:rsid w:val="00155498"/>
    <w:rsid w:val="00156B40"/>
    <w:rsid w:val="00162E2F"/>
    <w:rsid w:val="0016375A"/>
    <w:rsid w:val="0016582D"/>
    <w:rsid w:val="001708A4"/>
    <w:rsid w:val="0019584F"/>
    <w:rsid w:val="001973B9"/>
    <w:rsid w:val="001B411F"/>
    <w:rsid w:val="001C5CB0"/>
    <w:rsid w:val="001D10E8"/>
    <w:rsid w:val="001E5848"/>
    <w:rsid w:val="0022002A"/>
    <w:rsid w:val="002327D7"/>
    <w:rsid w:val="00240B7A"/>
    <w:rsid w:val="00243EBD"/>
    <w:rsid w:val="002538A5"/>
    <w:rsid w:val="00270879"/>
    <w:rsid w:val="0027424F"/>
    <w:rsid w:val="002972CF"/>
    <w:rsid w:val="002A214F"/>
    <w:rsid w:val="002A76D9"/>
    <w:rsid w:val="002B2923"/>
    <w:rsid w:val="002C088C"/>
    <w:rsid w:val="002C1430"/>
    <w:rsid w:val="002F3B02"/>
    <w:rsid w:val="00304541"/>
    <w:rsid w:val="00305902"/>
    <w:rsid w:val="0032098E"/>
    <w:rsid w:val="003247B7"/>
    <w:rsid w:val="00340A9D"/>
    <w:rsid w:val="00361A9E"/>
    <w:rsid w:val="00362EEE"/>
    <w:rsid w:val="00366D07"/>
    <w:rsid w:val="003765CF"/>
    <w:rsid w:val="003802AF"/>
    <w:rsid w:val="003844FF"/>
    <w:rsid w:val="003933DA"/>
    <w:rsid w:val="003942C2"/>
    <w:rsid w:val="003A1FF3"/>
    <w:rsid w:val="003D08FF"/>
    <w:rsid w:val="003D575C"/>
    <w:rsid w:val="003D65FB"/>
    <w:rsid w:val="003E1E59"/>
    <w:rsid w:val="003E4095"/>
    <w:rsid w:val="003F0938"/>
    <w:rsid w:val="00410665"/>
    <w:rsid w:val="004337AF"/>
    <w:rsid w:val="00434679"/>
    <w:rsid w:val="0044106C"/>
    <w:rsid w:val="004448A6"/>
    <w:rsid w:val="00447BD2"/>
    <w:rsid w:val="00460696"/>
    <w:rsid w:val="00465F9E"/>
    <w:rsid w:val="00473388"/>
    <w:rsid w:val="00473B2A"/>
    <w:rsid w:val="00474561"/>
    <w:rsid w:val="00475434"/>
    <w:rsid w:val="00497782"/>
    <w:rsid w:val="004A7F34"/>
    <w:rsid w:val="004D16A7"/>
    <w:rsid w:val="004E0B7C"/>
    <w:rsid w:val="004E1CF1"/>
    <w:rsid w:val="004E724C"/>
    <w:rsid w:val="004E727A"/>
    <w:rsid w:val="00516065"/>
    <w:rsid w:val="00522846"/>
    <w:rsid w:val="005271CF"/>
    <w:rsid w:val="00535E7A"/>
    <w:rsid w:val="00540DD3"/>
    <w:rsid w:val="0054313A"/>
    <w:rsid w:val="00563724"/>
    <w:rsid w:val="00563AF3"/>
    <w:rsid w:val="005644A0"/>
    <w:rsid w:val="00580CAB"/>
    <w:rsid w:val="00590BD4"/>
    <w:rsid w:val="00595C28"/>
    <w:rsid w:val="005A1ACA"/>
    <w:rsid w:val="005A77A5"/>
    <w:rsid w:val="005B51E9"/>
    <w:rsid w:val="005C2CF9"/>
    <w:rsid w:val="005D0A1E"/>
    <w:rsid w:val="005D30DC"/>
    <w:rsid w:val="005E1D17"/>
    <w:rsid w:val="005E28F7"/>
    <w:rsid w:val="005F774E"/>
    <w:rsid w:val="005F7C34"/>
    <w:rsid w:val="00614B87"/>
    <w:rsid w:val="0062003F"/>
    <w:rsid w:val="0064011D"/>
    <w:rsid w:val="0065302C"/>
    <w:rsid w:val="0066110E"/>
    <w:rsid w:val="006711B9"/>
    <w:rsid w:val="00692DA7"/>
    <w:rsid w:val="006A5732"/>
    <w:rsid w:val="006D3735"/>
    <w:rsid w:val="007039D7"/>
    <w:rsid w:val="00704AAC"/>
    <w:rsid w:val="0071352E"/>
    <w:rsid w:val="00717494"/>
    <w:rsid w:val="00722340"/>
    <w:rsid w:val="007237AB"/>
    <w:rsid w:val="007479A7"/>
    <w:rsid w:val="00765A8B"/>
    <w:rsid w:val="00767D57"/>
    <w:rsid w:val="0077045B"/>
    <w:rsid w:val="00773866"/>
    <w:rsid w:val="00777DB5"/>
    <w:rsid w:val="00780DD6"/>
    <w:rsid w:val="007826B6"/>
    <w:rsid w:val="00792B37"/>
    <w:rsid w:val="0079604B"/>
    <w:rsid w:val="007A0E73"/>
    <w:rsid w:val="007A7D4F"/>
    <w:rsid w:val="007C1837"/>
    <w:rsid w:val="007C28E4"/>
    <w:rsid w:val="007C3F68"/>
    <w:rsid w:val="007C57B1"/>
    <w:rsid w:val="007D5F29"/>
    <w:rsid w:val="00806C94"/>
    <w:rsid w:val="00814C12"/>
    <w:rsid w:val="00824030"/>
    <w:rsid w:val="008310E9"/>
    <w:rsid w:val="0083681B"/>
    <w:rsid w:val="00844AE3"/>
    <w:rsid w:val="008504DB"/>
    <w:rsid w:val="00850683"/>
    <w:rsid w:val="00860043"/>
    <w:rsid w:val="00887DB5"/>
    <w:rsid w:val="00890C3F"/>
    <w:rsid w:val="008A10DF"/>
    <w:rsid w:val="008A2B10"/>
    <w:rsid w:val="008B73B1"/>
    <w:rsid w:val="008C5096"/>
    <w:rsid w:val="008D50B1"/>
    <w:rsid w:val="008E458A"/>
    <w:rsid w:val="008F0E29"/>
    <w:rsid w:val="008F3CC1"/>
    <w:rsid w:val="009066FF"/>
    <w:rsid w:val="009167FC"/>
    <w:rsid w:val="009168A4"/>
    <w:rsid w:val="00924DB2"/>
    <w:rsid w:val="009276F4"/>
    <w:rsid w:val="00930A0E"/>
    <w:rsid w:val="00932DBC"/>
    <w:rsid w:val="009340B8"/>
    <w:rsid w:val="009933AB"/>
    <w:rsid w:val="009A0327"/>
    <w:rsid w:val="009A31A3"/>
    <w:rsid w:val="009F335E"/>
    <w:rsid w:val="00A04B03"/>
    <w:rsid w:val="00A200C1"/>
    <w:rsid w:val="00A47426"/>
    <w:rsid w:val="00A51E4C"/>
    <w:rsid w:val="00A872E1"/>
    <w:rsid w:val="00A96EE2"/>
    <w:rsid w:val="00AA40F2"/>
    <w:rsid w:val="00AB76CD"/>
    <w:rsid w:val="00AC4FC1"/>
    <w:rsid w:val="00AC50FD"/>
    <w:rsid w:val="00AD5631"/>
    <w:rsid w:val="00AE0558"/>
    <w:rsid w:val="00AE4A4C"/>
    <w:rsid w:val="00B22441"/>
    <w:rsid w:val="00B30341"/>
    <w:rsid w:val="00B32910"/>
    <w:rsid w:val="00B5278B"/>
    <w:rsid w:val="00B801CA"/>
    <w:rsid w:val="00B83FD7"/>
    <w:rsid w:val="00B86C54"/>
    <w:rsid w:val="00B87C56"/>
    <w:rsid w:val="00B914A1"/>
    <w:rsid w:val="00BA45F5"/>
    <w:rsid w:val="00BA6EE3"/>
    <w:rsid w:val="00BC4F3F"/>
    <w:rsid w:val="00BE6FC6"/>
    <w:rsid w:val="00C25009"/>
    <w:rsid w:val="00C3172A"/>
    <w:rsid w:val="00C360A4"/>
    <w:rsid w:val="00C45F82"/>
    <w:rsid w:val="00C6349C"/>
    <w:rsid w:val="00C9408B"/>
    <w:rsid w:val="00CA7D9B"/>
    <w:rsid w:val="00CD0B9C"/>
    <w:rsid w:val="00CD3851"/>
    <w:rsid w:val="00CD5620"/>
    <w:rsid w:val="00CE20B4"/>
    <w:rsid w:val="00CE7D00"/>
    <w:rsid w:val="00CF0359"/>
    <w:rsid w:val="00D013F0"/>
    <w:rsid w:val="00D030E0"/>
    <w:rsid w:val="00D21924"/>
    <w:rsid w:val="00D301D7"/>
    <w:rsid w:val="00D5190F"/>
    <w:rsid w:val="00D56674"/>
    <w:rsid w:val="00D63EA8"/>
    <w:rsid w:val="00D8464E"/>
    <w:rsid w:val="00D94870"/>
    <w:rsid w:val="00DB6420"/>
    <w:rsid w:val="00DE3E4B"/>
    <w:rsid w:val="00DF29A5"/>
    <w:rsid w:val="00DF5C76"/>
    <w:rsid w:val="00E017E6"/>
    <w:rsid w:val="00E23829"/>
    <w:rsid w:val="00E350B7"/>
    <w:rsid w:val="00E65A1E"/>
    <w:rsid w:val="00E65B3B"/>
    <w:rsid w:val="00E76CD9"/>
    <w:rsid w:val="00E97DC7"/>
    <w:rsid w:val="00EA3967"/>
    <w:rsid w:val="00EB72BF"/>
    <w:rsid w:val="00EC1B35"/>
    <w:rsid w:val="00EC4F82"/>
    <w:rsid w:val="00ED3F6C"/>
    <w:rsid w:val="00EE4952"/>
    <w:rsid w:val="00EE4BD9"/>
    <w:rsid w:val="00F1096C"/>
    <w:rsid w:val="00F16B33"/>
    <w:rsid w:val="00F33DC9"/>
    <w:rsid w:val="00F34E63"/>
    <w:rsid w:val="00F36D3F"/>
    <w:rsid w:val="00F600FD"/>
    <w:rsid w:val="00F63B51"/>
    <w:rsid w:val="00F7034C"/>
    <w:rsid w:val="00FA381E"/>
    <w:rsid w:val="00FA70D6"/>
    <w:rsid w:val="00FC0843"/>
    <w:rsid w:val="00FC1A13"/>
    <w:rsid w:val="00FD4A25"/>
    <w:rsid w:val="00FE02C0"/>
    <w:rsid w:val="00FE06CA"/>
    <w:rsid w:val="01233B25"/>
    <w:rsid w:val="041479C0"/>
    <w:rsid w:val="051F7A75"/>
    <w:rsid w:val="05441407"/>
    <w:rsid w:val="05C07758"/>
    <w:rsid w:val="06BF03B5"/>
    <w:rsid w:val="072A3357"/>
    <w:rsid w:val="0739676B"/>
    <w:rsid w:val="07A402C5"/>
    <w:rsid w:val="080D690E"/>
    <w:rsid w:val="085D53F2"/>
    <w:rsid w:val="08B91F27"/>
    <w:rsid w:val="098E2591"/>
    <w:rsid w:val="0A466F21"/>
    <w:rsid w:val="0B0C0DF3"/>
    <w:rsid w:val="0D6B79BC"/>
    <w:rsid w:val="0D737693"/>
    <w:rsid w:val="0DF63AC8"/>
    <w:rsid w:val="0F7A6263"/>
    <w:rsid w:val="0F847DFE"/>
    <w:rsid w:val="0FFC1B71"/>
    <w:rsid w:val="1618420A"/>
    <w:rsid w:val="16E1728E"/>
    <w:rsid w:val="182069AD"/>
    <w:rsid w:val="182C6276"/>
    <w:rsid w:val="18D22EC1"/>
    <w:rsid w:val="19653857"/>
    <w:rsid w:val="1AE22B61"/>
    <w:rsid w:val="1CD97721"/>
    <w:rsid w:val="1D3C63DE"/>
    <w:rsid w:val="1D875EEB"/>
    <w:rsid w:val="1DA74F06"/>
    <w:rsid w:val="1F3D35F9"/>
    <w:rsid w:val="1FA6207B"/>
    <w:rsid w:val="1FC049E7"/>
    <w:rsid w:val="1FE1585A"/>
    <w:rsid w:val="20781EA9"/>
    <w:rsid w:val="20EA3839"/>
    <w:rsid w:val="21E37CA2"/>
    <w:rsid w:val="22802CB4"/>
    <w:rsid w:val="22D35742"/>
    <w:rsid w:val="235C2C4C"/>
    <w:rsid w:val="239F0505"/>
    <w:rsid w:val="241E5C52"/>
    <w:rsid w:val="2480698E"/>
    <w:rsid w:val="25244188"/>
    <w:rsid w:val="290A23EF"/>
    <w:rsid w:val="2C030568"/>
    <w:rsid w:val="2DE10AA4"/>
    <w:rsid w:val="312F6509"/>
    <w:rsid w:val="31805AD9"/>
    <w:rsid w:val="3290635E"/>
    <w:rsid w:val="32B16796"/>
    <w:rsid w:val="34243F38"/>
    <w:rsid w:val="35A547DD"/>
    <w:rsid w:val="390E4110"/>
    <w:rsid w:val="3DC3578D"/>
    <w:rsid w:val="42B82E08"/>
    <w:rsid w:val="449177EB"/>
    <w:rsid w:val="44D15EC7"/>
    <w:rsid w:val="481C0C25"/>
    <w:rsid w:val="4D512B6B"/>
    <w:rsid w:val="4EB32A75"/>
    <w:rsid w:val="4F506B2E"/>
    <w:rsid w:val="4F9F4C70"/>
    <w:rsid w:val="505206A7"/>
    <w:rsid w:val="512D5326"/>
    <w:rsid w:val="533E1C7F"/>
    <w:rsid w:val="54B763C1"/>
    <w:rsid w:val="558968A4"/>
    <w:rsid w:val="567A298E"/>
    <w:rsid w:val="599E7BF0"/>
    <w:rsid w:val="5A9F49B7"/>
    <w:rsid w:val="5C5C0E94"/>
    <w:rsid w:val="5DF20A13"/>
    <w:rsid w:val="61DA7805"/>
    <w:rsid w:val="61E92C63"/>
    <w:rsid w:val="654E7B74"/>
    <w:rsid w:val="66217622"/>
    <w:rsid w:val="68B706D2"/>
    <w:rsid w:val="697B1204"/>
    <w:rsid w:val="6A2453F5"/>
    <w:rsid w:val="6CBD26CC"/>
    <w:rsid w:val="6E3C6FDB"/>
    <w:rsid w:val="6F92304D"/>
    <w:rsid w:val="709E7719"/>
    <w:rsid w:val="737F562F"/>
    <w:rsid w:val="73BF2AC0"/>
    <w:rsid w:val="76FF3418"/>
    <w:rsid w:val="772A6065"/>
    <w:rsid w:val="784F2E12"/>
    <w:rsid w:val="78EF69C9"/>
    <w:rsid w:val="7A3358C1"/>
    <w:rsid w:val="7B9045D8"/>
    <w:rsid w:val="7CF85900"/>
    <w:rsid w:val="7E077141"/>
    <w:rsid w:val="7E4947AF"/>
    <w:rsid w:val="7FD64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8"/>
    <w:semiHidden/>
    <w:qFormat/>
    <w:uiPriority w:val="0"/>
    <w:pPr>
      <w:adjustRightInd w:val="0"/>
      <w:spacing w:line="312" w:lineRule="atLeast"/>
      <w:jc w:val="left"/>
      <w:textAlignment w:val="baseline"/>
    </w:pPr>
    <w:rPr>
      <w:rFonts w:ascii="Times New Roman" w:hAnsi="Times New Roman" w:eastAsia="宋体" w:cs="Times New Roman"/>
      <w:kern w:val="0"/>
      <w:szCs w:val="21"/>
    </w:rPr>
  </w:style>
  <w:style w:type="paragraph" w:styleId="3">
    <w:name w:val="Body Text"/>
    <w:basedOn w:val="1"/>
    <w:link w:val="26"/>
    <w:qFormat/>
    <w:uiPriority w:val="0"/>
    <w:pPr>
      <w:jc w:val="center"/>
    </w:pPr>
    <w:rPr>
      <w:rFonts w:ascii="Times New Roman" w:hAnsi="Times New Roman" w:eastAsia="宋体" w:cs="Times New Roman"/>
      <w:szCs w:val="24"/>
    </w:rPr>
  </w:style>
  <w:style w:type="paragraph" w:styleId="4">
    <w:name w:val="Body Text Indent"/>
    <w:basedOn w:val="1"/>
    <w:link w:val="31"/>
    <w:qFormat/>
    <w:uiPriority w:val="0"/>
    <w:pPr>
      <w:adjustRightInd w:val="0"/>
      <w:spacing w:after="120" w:line="312" w:lineRule="atLeast"/>
      <w:ind w:left="420" w:leftChars="200"/>
      <w:textAlignment w:val="baseline"/>
    </w:pPr>
    <w:rPr>
      <w:rFonts w:ascii="Times New Roman" w:hAnsi="Times New Roman" w:eastAsia="宋体" w:cs="Times New Roman"/>
      <w:kern w:val="0"/>
      <w:szCs w:val="21"/>
    </w:rPr>
  </w:style>
  <w:style w:type="paragraph" w:styleId="5">
    <w:name w:val="Block Text"/>
    <w:basedOn w:val="1"/>
    <w:qFormat/>
    <w:uiPriority w:val="0"/>
    <w:pPr>
      <w:spacing w:line="460" w:lineRule="exact"/>
      <w:ind w:left="-359" w:leftChars="-171" w:right="-506" w:rightChars="-241" w:firstLine="578"/>
    </w:pPr>
    <w:rPr>
      <w:rFonts w:ascii="Times New Roman" w:hAnsi="Times New Roman" w:eastAsia="仿宋_GB2312" w:cs="Times New Roman"/>
      <w:sz w:val="28"/>
      <w:szCs w:val="28"/>
    </w:rPr>
  </w:style>
  <w:style w:type="paragraph" w:styleId="6">
    <w:name w:val="Plain Text"/>
    <w:basedOn w:val="1"/>
    <w:link w:val="22"/>
    <w:qFormat/>
    <w:uiPriority w:val="0"/>
    <w:pPr>
      <w:adjustRightInd w:val="0"/>
      <w:spacing w:line="312" w:lineRule="atLeast"/>
      <w:textAlignment w:val="baseline"/>
    </w:pPr>
    <w:rPr>
      <w:rFonts w:ascii="宋体" w:hAnsi="Courier New" w:eastAsia="宋体" w:cs="Times New Roman"/>
      <w:kern w:val="0"/>
      <w:szCs w:val="21"/>
    </w:rPr>
  </w:style>
  <w:style w:type="paragraph" w:styleId="7">
    <w:name w:val="Date"/>
    <w:basedOn w:val="1"/>
    <w:next w:val="1"/>
    <w:link w:val="24"/>
    <w:qFormat/>
    <w:uiPriority w:val="0"/>
    <w:pPr>
      <w:ind w:left="100" w:leftChars="2500"/>
    </w:pPr>
    <w:rPr>
      <w:rFonts w:ascii="宋体" w:hAnsi="Courier New" w:eastAsia="宋体" w:cs="Courier New"/>
      <w:szCs w:val="21"/>
    </w:rPr>
  </w:style>
  <w:style w:type="paragraph" w:styleId="8">
    <w:name w:val="Balloon Text"/>
    <w:basedOn w:val="1"/>
    <w:link w:val="30"/>
    <w:semiHidden/>
    <w:qFormat/>
    <w:uiPriority w:val="0"/>
    <w:pPr>
      <w:adjustRightInd w:val="0"/>
      <w:spacing w:line="312" w:lineRule="atLeast"/>
      <w:textAlignment w:val="baseline"/>
    </w:pPr>
    <w:rPr>
      <w:rFonts w:ascii="Times New Roman" w:hAnsi="Times New Roman" w:eastAsia="宋体" w:cs="Times New Roman"/>
      <w:kern w:val="0"/>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2"/>
    <w:next w:val="2"/>
    <w:link w:val="32"/>
    <w:qFormat/>
    <w:uiPriority w:val="0"/>
    <w:rPr>
      <w:b/>
      <w:bCs/>
    </w:rPr>
  </w:style>
  <w:style w:type="character" w:styleId="15">
    <w:name w:val="Strong"/>
    <w:qFormat/>
    <w:uiPriority w:val="22"/>
    <w:rPr>
      <w:b/>
      <w:bCs/>
    </w:rPr>
  </w:style>
  <w:style w:type="character" w:styleId="16">
    <w:name w:val="page number"/>
    <w:basedOn w:val="14"/>
    <w:qFormat/>
    <w:uiPriority w:val="0"/>
  </w:style>
  <w:style w:type="character" w:styleId="17">
    <w:name w:val="Emphasis"/>
    <w:basedOn w:val="14"/>
    <w:qFormat/>
    <w:uiPriority w:val="20"/>
    <w:rPr>
      <w:i/>
      <w:iCs/>
    </w:rPr>
  </w:style>
  <w:style w:type="character" w:styleId="18">
    <w:name w:val="annotation reference"/>
    <w:semiHidden/>
    <w:qFormat/>
    <w:uiPriority w:val="0"/>
    <w:rPr>
      <w:sz w:val="21"/>
      <w:szCs w:val="21"/>
    </w:rPr>
  </w:style>
  <w:style w:type="paragraph" w:styleId="19">
    <w:name w:val="List Paragraph"/>
    <w:basedOn w:val="1"/>
    <w:qFormat/>
    <w:uiPriority w:val="34"/>
    <w:pPr>
      <w:ind w:firstLine="420" w:firstLineChars="200"/>
    </w:pPr>
  </w:style>
  <w:style w:type="character" w:customStyle="1" w:styleId="20">
    <w:name w:val="页眉 字符"/>
    <w:basedOn w:val="14"/>
    <w:link w:val="10"/>
    <w:qFormat/>
    <w:uiPriority w:val="99"/>
    <w:rPr>
      <w:sz w:val="18"/>
      <w:szCs w:val="18"/>
    </w:rPr>
  </w:style>
  <w:style w:type="character" w:customStyle="1" w:styleId="21">
    <w:name w:val="页脚 字符"/>
    <w:basedOn w:val="14"/>
    <w:link w:val="9"/>
    <w:qFormat/>
    <w:uiPriority w:val="99"/>
    <w:rPr>
      <w:sz w:val="18"/>
      <w:szCs w:val="18"/>
    </w:rPr>
  </w:style>
  <w:style w:type="character" w:customStyle="1" w:styleId="22">
    <w:name w:val="纯文本 字符"/>
    <w:basedOn w:val="14"/>
    <w:link w:val="6"/>
    <w:qFormat/>
    <w:uiPriority w:val="0"/>
    <w:rPr>
      <w:rFonts w:ascii="宋体" w:hAnsi="Courier New" w:eastAsia="宋体" w:cs="Times New Roman"/>
      <w:kern w:val="0"/>
      <w:szCs w:val="21"/>
    </w:rPr>
  </w:style>
  <w:style w:type="paragraph" w:customStyle="1" w:styleId="23">
    <w:name w:val="Balloon Text1"/>
    <w:basedOn w:val="1"/>
    <w:semiHidden/>
    <w:qFormat/>
    <w:uiPriority w:val="0"/>
    <w:pPr>
      <w:adjustRightInd w:val="0"/>
      <w:spacing w:line="312" w:lineRule="atLeast"/>
      <w:textAlignment w:val="baseline"/>
    </w:pPr>
    <w:rPr>
      <w:rFonts w:ascii="Times New Roman" w:hAnsi="Times New Roman" w:eastAsia="宋体" w:cs="Times New Roman"/>
      <w:kern w:val="0"/>
      <w:sz w:val="18"/>
      <w:szCs w:val="18"/>
    </w:rPr>
  </w:style>
  <w:style w:type="character" w:customStyle="1" w:styleId="24">
    <w:name w:val="日期 字符"/>
    <w:basedOn w:val="14"/>
    <w:link w:val="7"/>
    <w:qFormat/>
    <w:uiPriority w:val="0"/>
    <w:rPr>
      <w:rFonts w:ascii="宋体" w:hAnsi="Courier New" w:eastAsia="宋体" w:cs="Courier New"/>
      <w:szCs w:val="21"/>
    </w:rPr>
  </w:style>
  <w:style w:type="paragraph" w:customStyle="1" w:styleId="25">
    <w:name w:val="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character" w:customStyle="1" w:styleId="26">
    <w:name w:val="正文文本 字符"/>
    <w:basedOn w:val="14"/>
    <w:link w:val="3"/>
    <w:qFormat/>
    <w:uiPriority w:val="0"/>
    <w:rPr>
      <w:rFonts w:ascii="Times New Roman" w:hAnsi="Times New Roman" w:eastAsia="宋体" w:cs="Times New Roman"/>
      <w:szCs w:val="24"/>
    </w:rPr>
  </w:style>
  <w:style w:type="paragraph" w:customStyle="1" w:styleId="27">
    <w:name w:val="批注框文本1"/>
    <w:basedOn w:val="1"/>
    <w:semiHidden/>
    <w:qFormat/>
    <w:uiPriority w:val="0"/>
    <w:pPr>
      <w:adjustRightInd w:val="0"/>
      <w:spacing w:line="312" w:lineRule="atLeast"/>
      <w:textAlignment w:val="baseline"/>
    </w:pPr>
    <w:rPr>
      <w:rFonts w:ascii="Times New Roman" w:hAnsi="Times New Roman" w:eastAsia="宋体" w:cs="Times New Roman"/>
      <w:kern w:val="0"/>
      <w:sz w:val="18"/>
      <w:szCs w:val="18"/>
    </w:rPr>
  </w:style>
  <w:style w:type="character" w:customStyle="1" w:styleId="28">
    <w:name w:val="批注文字 字符"/>
    <w:basedOn w:val="14"/>
    <w:link w:val="2"/>
    <w:semiHidden/>
    <w:qFormat/>
    <w:uiPriority w:val="0"/>
    <w:rPr>
      <w:rFonts w:ascii="Times New Roman" w:hAnsi="Times New Roman" w:eastAsia="宋体" w:cs="Times New Roman"/>
      <w:kern w:val="0"/>
      <w:szCs w:val="21"/>
    </w:rPr>
  </w:style>
  <w:style w:type="paragraph" w:customStyle="1" w:styleId="29">
    <w:name w:val="Comment Subject"/>
    <w:basedOn w:val="2"/>
    <w:next w:val="2"/>
    <w:semiHidden/>
    <w:qFormat/>
    <w:uiPriority w:val="0"/>
    <w:rPr>
      <w:b/>
      <w:bCs/>
    </w:rPr>
  </w:style>
  <w:style w:type="character" w:customStyle="1" w:styleId="30">
    <w:name w:val="批注框文本 字符"/>
    <w:basedOn w:val="14"/>
    <w:link w:val="8"/>
    <w:semiHidden/>
    <w:qFormat/>
    <w:uiPriority w:val="0"/>
    <w:rPr>
      <w:rFonts w:ascii="Times New Roman" w:hAnsi="Times New Roman" w:eastAsia="宋体" w:cs="Times New Roman"/>
      <w:kern w:val="0"/>
      <w:sz w:val="18"/>
      <w:szCs w:val="18"/>
    </w:rPr>
  </w:style>
  <w:style w:type="character" w:customStyle="1" w:styleId="31">
    <w:name w:val="正文文本缩进 字符"/>
    <w:basedOn w:val="14"/>
    <w:link w:val="4"/>
    <w:qFormat/>
    <w:uiPriority w:val="0"/>
    <w:rPr>
      <w:rFonts w:ascii="Times New Roman" w:hAnsi="Times New Roman" w:eastAsia="宋体" w:cs="Times New Roman"/>
      <w:kern w:val="0"/>
      <w:szCs w:val="21"/>
    </w:rPr>
  </w:style>
  <w:style w:type="character" w:customStyle="1" w:styleId="32">
    <w:name w:val="批注主题 字符"/>
    <w:basedOn w:val="28"/>
    <w:link w:val="12"/>
    <w:qFormat/>
    <w:uiPriority w:val="0"/>
    <w:rPr>
      <w:rFonts w:ascii="Times New Roman" w:hAnsi="Times New Roman" w:eastAsia="宋体" w:cs="Times New Roman"/>
      <w:b/>
      <w:bCs/>
      <w:kern w:val="0"/>
      <w:szCs w:val="21"/>
    </w:rPr>
  </w:style>
  <w:style w:type="paragraph" w:customStyle="1" w:styleId="33">
    <w:name w:val="修订1"/>
    <w:hidden/>
    <w:semiHidden/>
    <w:qFormat/>
    <w:uiPriority w:val="99"/>
    <w:rPr>
      <w:rFonts w:ascii="Times New Roman" w:hAnsi="Times New Roman"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240C52-6798-42C8-B467-02DF54165B3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39</Pages>
  <Words>15909</Words>
  <Characters>16135</Characters>
  <Lines>123</Lines>
  <Paragraphs>34</Paragraphs>
  <TotalTime>9</TotalTime>
  <ScaleCrop>false</ScaleCrop>
  <LinksUpToDate>false</LinksUpToDate>
  <CharactersWithSpaces>16697</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2018-09-21T01:09:00Z</dcterms:created>
  <dc:creator>肖红安</dc:creator>
  <cp:lastModifiedBy>安琪</cp:lastModifiedBy>
  <cp:lastPrinted>2018-08-06T01:12:00Z</cp:lastPrinted>
  <dcterms:modified xsi:type="dcterms:W3CDTF">2024-07-11T09:15:05Z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3EA95701E19C4A388F2C4983A92813EC_13</vt:lpwstr>
  </property>
</Properties>
</file>