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BC5E4F">
      <w:pPr>
        <w:jc w:val="both"/>
        <w:rPr>
          <w:rFonts w:hint="default" w:eastAsia="仿宋"/>
          <w:b/>
          <w:bCs/>
          <w:sz w:val="28"/>
          <w:szCs w:val="28"/>
          <w:lang w:val="en-US" w:eastAsia="zh-CN"/>
        </w:rPr>
      </w:pPr>
      <w:bookmarkStart w:id="0" w:name="_GoBack"/>
      <w:r>
        <w:rPr>
          <w:rFonts w:hint="eastAsia"/>
          <w:b/>
          <w:bCs/>
          <w:sz w:val="28"/>
          <w:szCs w:val="28"/>
          <w:lang w:val="en-US" w:eastAsia="zh-CN"/>
        </w:rPr>
        <w:t>附件4</w:t>
      </w:r>
    </w:p>
    <w:bookmarkEnd w:id="0"/>
    <w:p w14:paraId="4C869FE7">
      <w:pPr>
        <w:spacing w:before="0" w:line="240" w:lineRule="auto"/>
        <w:rPr>
          <w:rFonts w:ascii="华文宋体" w:hAnsi="华文宋体" w:eastAsia="华文宋体" w:cs="华文宋体"/>
          <w:sz w:val="44"/>
          <w:szCs w:val="44"/>
        </w:rPr>
      </w:pPr>
      <w:r>
        <w:rPr>
          <w:rFonts w:hint="eastAsia" w:ascii="华文宋体" w:hAnsi="华文宋体" w:eastAsia="华文宋体" w:cs="华文宋体"/>
          <w:sz w:val="44"/>
          <w:szCs w:val="44"/>
        </w:rPr>
        <w:t>中国篮球协会赛事安全管理工作规定</w:t>
      </w:r>
    </w:p>
    <w:p w14:paraId="1D5FC3A3">
      <w:pPr>
        <w:pStyle w:val="3"/>
        <w:spacing w:before="0" w:line="240" w:lineRule="auto"/>
        <w:rPr>
          <w:rFonts w:cs="黑体"/>
          <w:b w:val="0"/>
          <w:bCs w:val="0"/>
          <w:sz w:val="32"/>
          <w:szCs w:val="32"/>
          <w:lang w:eastAsia="zh-CN"/>
        </w:rPr>
      </w:pPr>
      <w:r>
        <w:rPr>
          <w:rFonts w:hint="eastAsia" w:cs="黑体"/>
          <w:b w:val="0"/>
          <w:bCs w:val="0"/>
          <w:sz w:val="32"/>
          <w:szCs w:val="32"/>
          <w:lang w:eastAsia="zh-CN"/>
        </w:rPr>
        <w:t>(征求意见稿)</w:t>
      </w:r>
    </w:p>
    <w:p w14:paraId="6E154D46">
      <w:pPr>
        <w:ind w:firstLine="723"/>
        <w:rPr>
          <w:b w:val="0"/>
          <w:bCs w:val="0"/>
        </w:rPr>
      </w:pPr>
    </w:p>
    <w:p w14:paraId="16308D8B">
      <w:pPr>
        <w:ind w:firstLine="3960" w:firstLineChars="1100"/>
        <w:jc w:val="both"/>
        <w:rPr>
          <w:rFonts w:ascii="华文琥珀" w:hAnsi="华文琥珀" w:eastAsia="华文琥珀" w:cs="华文琥珀"/>
          <w:b w:val="0"/>
          <w:bCs w:val="0"/>
          <w:sz w:val="36"/>
          <w:szCs w:val="36"/>
        </w:rPr>
      </w:pPr>
      <w:r>
        <w:rPr>
          <w:rFonts w:hint="eastAsia" w:ascii="华文琥珀" w:hAnsi="华文琥珀" w:eastAsia="华文琥珀" w:cs="华文琥珀"/>
          <w:b w:val="0"/>
          <w:bCs w:val="0"/>
          <w:sz w:val="36"/>
          <w:szCs w:val="36"/>
        </w:rPr>
        <w:t>目  录</w:t>
      </w:r>
    </w:p>
    <w:p w14:paraId="60393CB0">
      <w:pPr>
        <w:ind w:firstLine="4160" w:firstLineChars="1300"/>
        <w:jc w:val="both"/>
        <w:rPr>
          <w:b w:val="0"/>
          <w:bCs w:val="0"/>
        </w:rPr>
      </w:pPr>
    </w:p>
    <w:p w14:paraId="6B16EF77">
      <w:pPr>
        <w:ind w:firstLine="1285" w:firstLineChars="400"/>
        <w:jc w:val="both"/>
        <w:rPr>
          <w:rFonts w:asciiTheme="minorEastAsia" w:hAnsiTheme="minorEastAsia" w:eastAsiaTheme="minorEastAsia" w:cstheme="minorEastAsia"/>
        </w:rPr>
      </w:pPr>
    </w:p>
    <w:p w14:paraId="46B447A8">
      <w:pPr>
        <w:ind w:firstLine="1285" w:firstLineChars="400"/>
        <w:jc w:val="both"/>
        <w:rPr>
          <w:rFonts w:asciiTheme="minorEastAsia" w:hAnsiTheme="minorEastAsia" w:eastAsiaTheme="minorEastAsia" w:cstheme="minorEastAsia"/>
        </w:rPr>
      </w:pPr>
      <w:r>
        <w:rPr>
          <w:rFonts w:hint="eastAsia" w:asciiTheme="minorEastAsia" w:hAnsiTheme="minorEastAsia" w:eastAsiaTheme="minorEastAsia" w:cstheme="minorEastAsia"/>
        </w:rPr>
        <w:t>第一章 总则</w:t>
      </w:r>
    </w:p>
    <w:p w14:paraId="5FAD816C">
      <w:pPr>
        <w:ind w:firstLine="1285" w:firstLineChars="400"/>
        <w:jc w:val="both"/>
        <w:rPr>
          <w:rFonts w:asciiTheme="minorEastAsia" w:hAnsiTheme="minorEastAsia" w:eastAsiaTheme="minorEastAsia" w:cstheme="minorEastAsia"/>
        </w:rPr>
      </w:pPr>
      <w:r>
        <w:rPr>
          <w:rFonts w:hint="eastAsia" w:asciiTheme="minorEastAsia" w:hAnsiTheme="minorEastAsia" w:eastAsiaTheme="minorEastAsia" w:cstheme="minorEastAsia"/>
        </w:rPr>
        <w:t>第二章 赛事安全工作基本要求</w:t>
      </w:r>
    </w:p>
    <w:p w14:paraId="1D0BE3E1">
      <w:pPr>
        <w:ind w:firstLine="1285" w:firstLineChars="400"/>
        <w:jc w:val="both"/>
        <w:rPr>
          <w:rFonts w:hint="default"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 xml:space="preserve">        （四个方案、一风险评估报告、一熔断机制）</w:t>
      </w:r>
    </w:p>
    <w:p w14:paraId="4E09279C">
      <w:pPr>
        <w:ind w:firstLine="1285" w:firstLineChars="400"/>
        <w:jc w:val="both"/>
        <w:rPr>
          <w:rFonts w:asciiTheme="minorEastAsia" w:hAnsiTheme="minorEastAsia" w:eastAsiaTheme="minorEastAsia" w:cstheme="minorEastAsia"/>
        </w:rPr>
      </w:pPr>
      <w:r>
        <w:rPr>
          <w:rFonts w:hint="eastAsia" w:asciiTheme="minorEastAsia" w:hAnsiTheme="minorEastAsia" w:eastAsiaTheme="minorEastAsia" w:cstheme="minorEastAsia"/>
        </w:rPr>
        <w:t>第三章 安全办赛各方指南</w:t>
      </w:r>
    </w:p>
    <w:p w14:paraId="451F6D9A">
      <w:pPr>
        <w:ind w:firstLine="1285" w:firstLineChars="400"/>
        <w:jc w:val="both"/>
        <w:rPr>
          <w:rFonts w:asciiTheme="minorEastAsia" w:hAnsiTheme="minorEastAsia" w:eastAsiaTheme="minorEastAsia" w:cstheme="minorEastAsia"/>
        </w:rPr>
      </w:pPr>
      <w:r>
        <w:rPr>
          <w:rFonts w:hint="eastAsia" w:asciiTheme="minorEastAsia" w:hAnsiTheme="minorEastAsia" w:eastAsiaTheme="minorEastAsia" w:cstheme="minorEastAsia"/>
        </w:rPr>
        <w:t>第四章 安全参赛各方指引</w:t>
      </w:r>
    </w:p>
    <w:p w14:paraId="3F3E7066">
      <w:pPr>
        <w:ind w:firstLine="1285" w:firstLineChars="400"/>
        <w:jc w:val="both"/>
        <w:rPr>
          <w:rFonts w:asciiTheme="minorEastAsia" w:hAnsiTheme="minorEastAsia" w:eastAsiaTheme="minorEastAsia" w:cstheme="minorEastAsia"/>
        </w:rPr>
      </w:pPr>
      <w:r>
        <w:rPr>
          <w:rFonts w:hint="eastAsia" w:asciiTheme="minorEastAsia" w:hAnsiTheme="minorEastAsia" w:eastAsiaTheme="minorEastAsia" w:cstheme="minorEastAsia"/>
        </w:rPr>
        <w:t>第五章 观众行为安全规范</w:t>
      </w:r>
    </w:p>
    <w:p w14:paraId="3989B5E4">
      <w:pPr>
        <w:ind w:firstLine="1285" w:firstLineChars="400"/>
        <w:jc w:val="both"/>
        <w:rPr>
          <w:rFonts w:asciiTheme="minorEastAsia" w:hAnsiTheme="minorEastAsia" w:eastAsiaTheme="minorEastAsia" w:cstheme="minorEastAsia"/>
        </w:rPr>
      </w:pPr>
      <w:r>
        <w:rPr>
          <w:rFonts w:hint="eastAsia" w:asciiTheme="minorEastAsia" w:hAnsiTheme="minorEastAsia" w:eastAsiaTheme="minorEastAsia" w:cstheme="minorEastAsia"/>
        </w:rPr>
        <w:t>第六章 应急处置机制和熔断</w:t>
      </w:r>
    </w:p>
    <w:p w14:paraId="4B7ED0B4">
      <w:pPr>
        <w:ind w:firstLine="1285" w:firstLineChars="400"/>
        <w:jc w:val="both"/>
        <w:rPr>
          <w:rFonts w:asciiTheme="minorEastAsia" w:hAnsiTheme="minorEastAsia" w:eastAsiaTheme="minorEastAsia" w:cstheme="minorEastAsia"/>
        </w:rPr>
      </w:pPr>
      <w:r>
        <w:rPr>
          <w:rFonts w:hint="eastAsia" w:asciiTheme="minorEastAsia" w:hAnsiTheme="minorEastAsia" w:eastAsiaTheme="minorEastAsia" w:cstheme="minorEastAsia"/>
        </w:rPr>
        <w:t>第七章 奖励和处罚</w:t>
      </w:r>
    </w:p>
    <w:p w14:paraId="48C69275">
      <w:pPr>
        <w:ind w:firstLine="1285" w:firstLineChars="400"/>
        <w:jc w:val="both"/>
        <w:rPr>
          <w:rFonts w:asciiTheme="minorEastAsia" w:hAnsiTheme="minorEastAsia" w:eastAsiaTheme="minorEastAsia" w:cstheme="minorEastAsia"/>
        </w:rPr>
      </w:pPr>
      <w:r>
        <w:rPr>
          <w:rFonts w:hint="eastAsia" w:asciiTheme="minorEastAsia" w:hAnsiTheme="minorEastAsia" w:eastAsiaTheme="minorEastAsia" w:cstheme="minorEastAsia"/>
        </w:rPr>
        <w:t>第八章 附 则</w:t>
      </w:r>
    </w:p>
    <w:p w14:paraId="0DBF99CC">
      <w:pPr>
        <w:ind w:firstLine="3680" w:firstLineChars="1150"/>
        <w:jc w:val="left"/>
        <w:rPr>
          <w:b w:val="0"/>
          <w:bCs w:val="0"/>
        </w:rPr>
      </w:pPr>
    </w:p>
    <w:p w14:paraId="4E508C91">
      <w:pPr>
        <w:ind w:firstLine="1280" w:firstLineChars="400"/>
        <w:jc w:val="both"/>
        <w:rPr>
          <w:rFonts w:asciiTheme="minorEastAsia" w:hAnsiTheme="minorEastAsia" w:eastAsiaTheme="minorEastAsia" w:cstheme="minorEastAsia"/>
          <w:b w:val="0"/>
          <w:bCs w:val="0"/>
        </w:rPr>
      </w:pPr>
    </w:p>
    <w:p w14:paraId="78918CC0">
      <w:pPr>
        <w:pStyle w:val="3"/>
        <w:spacing w:before="0" w:line="520" w:lineRule="exact"/>
        <w:ind w:firstLine="1256" w:firstLineChars="400"/>
        <w:jc w:val="both"/>
        <w:rPr>
          <w:b w:val="0"/>
          <w:bCs w:val="0"/>
          <w:spacing w:val="-3"/>
          <w:sz w:val="32"/>
          <w:szCs w:val="32"/>
          <w:lang w:eastAsia="zh-CN"/>
        </w:rPr>
      </w:pPr>
      <w:r>
        <w:rPr>
          <w:rFonts w:hint="eastAsia"/>
          <w:b w:val="0"/>
          <w:bCs w:val="0"/>
          <w:spacing w:val="-3"/>
          <w:sz w:val="32"/>
          <w:szCs w:val="32"/>
          <w:lang w:eastAsia="zh-CN"/>
        </w:rPr>
        <w:t>附件一、体育赛事安全应执行的法律法规</w:t>
      </w:r>
      <w:r>
        <w:rPr>
          <w:rFonts w:hint="eastAsia"/>
          <w:b w:val="0"/>
          <w:bCs w:val="0"/>
          <w:lang w:eastAsia="zh-CN"/>
        </w:rPr>
        <w:t>一览表</w:t>
      </w:r>
    </w:p>
    <w:p w14:paraId="0AFDFEBC">
      <w:pPr>
        <w:pStyle w:val="3"/>
        <w:spacing w:before="0" w:line="520" w:lineRule="exact"/>
        <w:ind w:firstLine="1256" w:firstLineChars="400"/>
        <w:jc w:val="both"/>
        <w:rPr>
          <w:b w:val="0"/>
          <w:bCs w:val="0"/>
          <w:spacing w:val="-3"/>
          <w:sz w:val="32"/>
          <w:szCs w:val="32"/>
          <w:lang w:eastAsia="zh-CN"/>
        </w:rPr>
      </w:pPr>
      <w:r>
        <w:rPr>
          <w:rFonts w:hint="eastAsia"/>
          <w:b w:val="0"/>
          <w:bCs w:val="0"/>
          <w:spacing w:val="-3"/>
          <w:sz w:val="32"/>
          <w:szCs w:val="32"/>
          <w:lang w:eastAsia="zh-CN"/>
        </w:rPr>
        <w:t>附件二、体育赛事安全应执行的规范和标准一览表</w:t>
      </w:r>
    </w:p>
    <w:p w14:paraId="68CCC89D">
      <w:pPr>
        <w:pStyle w:val="3"/>
        <w:spacing w:before="0" w:line="520" w:lineRule="exact"/>
        <w:ind w:firstLine="1256" w:firstLineChars="400"/>
        <w:jc w:val="both"/>
        <w:rPr>
          <w:b w:val="0"/>
          <w:bCs w:val="0"/>
          <w:spacing w:val="-3"/>
          <w:sz w:val="32"/>
          <w:szCs w:val="32"/>
          <w:lang w:eastAsia="zh-CN"/>
        </w:rPr>
      </w:pPr>
      <w:r>
        <w:rPr>
          <w:rFonts w:hint="eastAsia"/>
          <w:b w:val="0"/>
          <w:bCs w:val="0"/>
          <w:spacing w:val="-3"/>
          <w:sz w:val="32"/>
          <w:szCs w:val="32"/>
          <w:lang w:eastAsia="zh-CN"/>
        </w:rPr>
        <w:t>附件三、篮球赛事活动安全工作抽查情况表</w:t>
      </w:r>
    </w:p>
    <w:p w14:paraId="1C5D5B85">
      <w:pPr>
        <w:pStyle w:val="3"/>
        <w:spacing w:before="0" w:line="520" w:lineRule="exact"/>
        <w:ind w:firstLine="1256" w:firstLineChars="400"/>
        <w:jc w:val="both"/>
        <w:rPr>
          <w:b w:val="0"/>
          <w:bCs w:val="0"/>
          <w:spacing w:val="-3"/>
          <w:sz w:val="32"/>
          <w:szCs w:val="32"/>
          <w:lang w:eastAsia="zh-CN"/>
        </w:rPr>
      </w:pPr>
      <w:r>
        <w:rPr>
          <w:rFonts w:hint="eastAsia"/>
          <w:b w:val="0"/>
          <w:bCs w:val="0"/>
          <w:spacing w:val="-3"/>
          <w:sz w:val="32"/>
          <w:szCs w:val="32"/>
          <w:lang w:eastAsia="zh-CN"/>
        </w:rPr>
        <w:t>附件四、篮球赛事活动运动员参赛免责承诺书</w:t>
      </w:r>
    </w:p>
    <w:p w14:paraId="22072FEE">
      <w:pPr>
        <w:pStyle w:val="3"/>
        <w:spacing w:before="0" w:line="520" w:lineRule="exact"/>
        <w:ind w:firstLine="1256" w:firstLineChars="400"/>
        <w:jc w:val="both"/>
        <w:rPr>
          <w:b w:val="0"/>
          <w:bCs w:val="0"/>
          <w:spacing w:val="-3"/>
          <w:sz w:val="32"/>
          <w:szCs w:val="32"/>
          <w:lang w:eastAsia="zh-CN"/>
        </w:rPr>
      </w:pPr>
      <w:r>
        <w:rPr>
          <w:rFonts w:hint="eastAsia"/>
          <w:b w:val="0"/>
          <w:bCs w:val="0"/>
          <w:spacing w:val="-3"/>
          <w:sz w:val="32"/>
          <w:szCs w:val="32"/>
          <w:lang w:eastAsia="zh-CN"/>
        </w:rPr>
        <w:t>附件五、篮球赛事活动运动员伤病应急预案表</w:t>
      </w:r>
    </w:p>
    <w:p w14:paraId="5B4CA6B8">
      <w:pPr>
        <w:pStyle w:val="3"/>
        <w:spacing w:before="0" w:line="520" w:lineRule="exact"/>
        <w:ind w:firstLine="1256" w:firstLineChars="400"/>
        <w:jc w:val="both"/>
        <w:rPr>
          <w:b w:val="0"/>
          <w:bCs w:val="0"/>
          <w:spacing w:val="-3"/>
          <w:sz w:val="32"/>
          <w:szCs w:val="32"/>
          <w:lang w:eastAsia="zh-CN"/>
        </w:rPr>
      </w:pPr>
      <w:r>
        <w:rPr>
          <w:rFonts w:hint="eastAsia"/>
          <w:b w:val="0"/>
          <w:bCs w:val="0"/>
          <w:spacing w:val="-3"/>
          <w:sz w:val="32"/>
          <w:szCs w:val="32"/>
          <w:lang w:eastAsia="zh-CN"/>
        </w:rPr>
        <w:t>附件六、篮球赛事活动熔断机制表</w:t>
      </w:r>
    </w:p>
    <w:p w14:paraId="19AFE7A7">
      <w:pPr>
        <w:pStyle w:val="3"/>
        <w:spacing w:before="0" w:line="520" w:lineRule="exact"/>
        <w:ind w:firstLine="628" w:firstLineChars="200"/>
        <w:jc w:val="both"/>
        <w:rPr>
          <w:b w:val="0"/>
          <w:bCs w:val="0"/>
          <w:spacing w:val="-3"/>
          <w:sz w:val="32"/>
          <w:szCs w:val="32"/>
          <w:lang w:eastAsia="zh-CN"/>
        </w:rPr>
      </w:pPr>
    </w:p>
    <w:p w14:paraId="0CE1F49A">
      <w:pPr>
        <w:ind w:firstLine="723"/>
        <w:jc w:val="both"/>
        <w:rPr>
          <w:rFonts w:asciiTheme="minorEastAsia" w:hAnsiTheme="minorEastAsia" w:eastAsiaTheme="minorEastAsia" w:cstheme="minorEastAsia"/>
          <w:b w:val="0"/>
          <w:bCs w:val="0"/>
        </w:rPr>
      </w:pPr>
    </w:p>
    <w:p w14:paraId="4955563F">
      <w:pPr>
        <w:ind w:firstLine="723"/>
        <w:rPr>
          <w:b w:val="0"/>
          <w:bCs w:val="0"/>
        </w:rPr>
      </w:pPr>
    </w:p>
    <w:p w14:paraId="35A7BE09">
      <w:pPr>
        <w:ind w:firstLine="723"/>
        <w:rPr>
          <w:b w:val="0"/>
          <w:bCs w:val="0"/>
        </w:rPr>
      </w:pPr>
    </w:p>
    <w:p w14:paraId="38FF94BE">
      <w:pPr>
        <w:ind w:firstLine="723"/>
        <w:rPr>
          <w:b w:val="0"/>
          <w:bCs w:val="0"/>
        </w:rPr>
      </w:pPr>
    </w:p>
    <w:p w14:paraId="39730C2E">
      <w:pPr>
        <w:pStyle w:val="3"/>
        <w:rPr>
          <w:lang w:eastAsia="zh-CN"/>
        </w:rPr>
      </w:pPr>
    </w:p>
    <w:p w14:paraId="2BA3F2E4">
      <w:pPr>
        <w:spacing w:before="0" w:line="240" w:lineRule="auto"/>
        <w:rPr>
          <w:rFonts w:ascii="华文宋体" w:hAnsi="华文宋体" w:eastAsia="华文宋体" w:cs="华文宋体"/>
          <w:sz w:val="44"/>
          <w:szCs w:val="44"/>
        </w:rPr>
      </w:pPr>
      <w:r>
        <w:rPr>
          <w:rFonts w:hint="eastAsia" w:ascii="华文宋体" w:hAnsi="华文宋体" w:eastAsia="华文宋体" w:cs="华文宋体"/>
          <w:sz w:val="44"/>
          <w:szCs w:val="44"/>
        </w:rPr>
        <w:t>中国篮球协会赛事安全管理工作规定</w:t>
      </w:r>
    </w:p>
    <w:p w14:paraId="2A501068">
      <w:pPr>
        <w:ind w:firstLine="723"/>
        <w:rPr>
          <w:b w:val="0"/>
          <w:bCs w:val="0"/>
        </w:rPr>
      </w:pPr>
    </w:p>
    <w:p w14:paraId="33412734">
      <w:pPr>
        <w:spacing w:before="0" w:line="240" w:lineRule="auto"/>
        <w:rPr>
          <w:rFonts w:asciiTheme="majorEastAsia" w:hAnsiTheme="majorEastAsia" w:eastAsiaTheme="majorEastAsia"/>
        </w:rPr>
      </w:pPr>
      <w:r>
        <w:rPr>
          <w:rFonts w:hint="eastAsia" w:asciiTheme="majorEastAsia" w:hAnsiTheme="majorEastAsia" w:eastAsiaTheme="majorEastAsia"/>
        </w:rPr>
        <w:t>第一章</w:t>
      </w:r>
      <w:r>
        <w:rPr>
          <w:rFonts w:asciiTheme="majorEastAsia" w:hAnsiTheme="majorEastAsia" w:eastAsiaTheme="majorEastAsia"/>
          <w:spacing w:val="122"/>
        </w:rPr>
        <w:t xml:space="preserve"> </w:t>
      </w:r>
      <w:r>
        <w:rPr>
          <w:rFonts w:hint="eastAsia" w:asciiTheme="majorEastAsia" w:hAnsiTheme="majorEastAsia" w:eastAsiaTheme="majorEastAsia"/>
        </w:rPr>
        <w:t>总则</w:t>
      </w:r>
    </w:p>
    <w:p w14:paraId="32064314">
      <w:pPr>
        <w:ind w:firstLine="723"/>
        <w:rPr>
          <w:b w:val="0"/>
          <w:bCs w:val="0"/>
        </w:rPr>
      </w:pPr>
    </w:p>
    <w:p w14:paraId="28EED64E">
      <w:pPr>
        <w:spacing w:before="0" w:line="520" w:lineRule="exact"/>
        <w:ind w:firstLine="640" w:firstLineChars="200"/>
        <w:jc w:val="both"/>
        <w:rPr>
          <w:b w:val="0"/>
          <w:bCs w:val="0"/>
        </w:rPr>
      </w:pPr>
      <w:r>
        <w:rPr>
          <w:rFonts w:ascii="黑体" w:hAnsi="黑体" w:eastAsia="黑体"/>
          <w:b w:val="0"/>
          <w:bCs w:val="0"/>
        </w:rPr>
        <w:t>第一条</w:t>
      </w:r>
      <w:r>
        <w:rPr>
          <w:rFonts w:hint="eastAsia"/>
          <w:b w:val="0"/>
          <w:bCs w:val="0"/>
          <w:spacing w:val="57"/>
        </w:rPr>
        <w:t xml:space="preserve"> </w:t>
      </w:r>
      <w:r>
        <w:rPr>
          <w:rFonts w:hint="eastAsia"/>
          <w:b w:val="0"/>
          <w:bCs w:val="0"/>
        </w:rPr>
        <w:t>为切实加强篮球比赛的安全管理工作，明确各方责任义务，维护赛场秩序，保障篮球比赛安全有序进行，为办赛和参赛提供安全指导，根据《中华人民共和国体育法》《大型群众性活动安全管理条例》《体育赛事活动管理办法》《关于进一步加强体育赛事活动安全监管服务的意见》以及国际篮球联合会（以下简称国际篮联）和中国篮球协会（以下简称中国篮协）的有关规定，制定本规定。</w:t>
      </w:r>
    </w:p>
    <w:p w14:paraId="4944D0CB">
      <w:pPr>
        <w:pStyle w:val="3"/>
        <w:spacing w:before="0" w:line="520" w:lineRule="exact"/>
        <w:ind w:firstLine="680" w:firstLineChars="200"/>
        <w:jc w:val="both"/>
        <w:rPr>
          <w:b w:val="0"/>
          <w:bCs w:val="0"/>
          <w:sz w:val="32"/>
          <w:szCs w:val="32"/>
          <w:lang w:eastAsia="zh-CN"/>
        </w:rPr>
      </w:pPr>
      <w:r>
        <w:rPr>
          <w:rFonts w:ascii="黑体" w:hAnsi="黑体" w:eastAsia="黑体" w:cs="黑体"/>
          <w:b w:val="0"/>
          <w:bCs w:val="0"/>
          <w:spacing w:val="10"/>
          <w:sz w:val="32"/>
          <w:szCs w:val="32"/>
          <w:lang w:eastAsia="zh-CN"/>
        </w:rPr>
        <w:t>第二条</w:t>
      </w:r>
      <w:r>
        <w:rPr>
          <w:rFonts w:cs="黑体" w:asciiTheme="minorEastAsia" w:hAnsiTheme="minorEastAsia" w:eastAsiaTheme="minorEastAsia"/>
          <w:b w:val="0"/>
          <w:bCs w:val="0"/>
          <w:spacing w:val="71"/>
          <w:sz w:val="32"/>
          <w:szCs w:val="32"/>
          <w:lang w:eastAsia="zh-CN"/>
        </w:rPr>
        <w:t xml:space="preserve"> </w:t>
      </w:r>
      <w:r>
        <w:rPr>
          <w:b w:val="0"/>
          <w:bCs w:val="0"/>
          <w:sz w:val="32"/>
          <w:szCs w:val="32"/>
          <w:lang w:eastAsia="zh-CN"/>
        </w:rPr>
        <w:t>本规定所指的</w:t>
      </w:r>
      <w:r>
        <w:rPr>
          <w:rFonts w:hint="eastAsia"/>
          <w:b w:val="0"/>
          <w:bCs w:val="0"/>
          <w:sz w:val="32"/>
          <w:szCs w:val="32"/>
          <w:lang w:eastAsia="zh-CN"/>
        </w:rPr>
        <w:t>篮球</w:t>
      </w:r>
      <w:r>
        <w:rPr>
          <w:b w:val="0"/>
          <w:bCs w:val="0"/>
          <w:sz w:val="32"/>
          <w:szCs w:val="32"/>
          <w:lang w:eastAsia="zh-CN"/>
        </w:rPr>
        <w:t>比赛是中国</w:t>
      </w:r>
      <w:r>
        <w:rPr>
          <w:rFonts w:hint="eastAsia"/>
          <w:b w:val="0"/>
          <w:bCs w:val="0"/>
          <w:sz w:val="32"/>
          <w:szCs w:val="32"/>
          <w:lang w:eastAsia="zh-CN"/>
        </w:rPr>
        <w:t>篮</w:t>
      </w:r>
      <w:r>
        <w:rPr>
          <w:b w:val="0"/>
          <w:bCs w:val="0"/>
          <w:sz w:val="32"/>
          <w:szCs w:val="32"/>
          <w:lang w:eastAsia="zh-CN"/>
        </w:rPr>
        <w:t>协</w:t>
      </w:r>
      <w:r>
        <w:rPr>
          <w:rFonts w:hint="eastAsia"/>
          <w:b w:val="0"/>
          <w:bCs w:val="0"/>
          <w:sz w:val="32"/>
          <w:szCs w:val="32"/>
          <w:lang w:eastAsia="zh-CN"/>
        </w:rPr>
        <w:t>、</w:t>
      </w:r>
      <w:r>
        <w:rPr>
          <w:b w:val="0"/>
          <w:bCs w:val="0"/>
          <w:sz w:val="32"/>
          <w:szCs w:val="32"/>
          <w:lang w:eastAsia="zh-CN"/>
        </w:rPr>
        <w:t>会员</w:t>
      </w:r>
      <w:r>
        <w:rPr>
          <w:rFonts w:hint="eastAsia"/>
          <w:b w:val="0"/>
          <w:bCs w:val="0"/>
          <w:sz w:val="32"/>
          <w:szCs w:val="32"/>
          <w:lang w:eastAsia="zh-CN"/>
        </w:rPr>
        <w:t>单位（包括其所属会员单位，下同</w:t>
      </w:r>
      <w:r>
        <w:rPr>
          <w:rFonts w:hint="eastAsia" w:cs="黑体"/>
          <w:b w:val="0"/>
          <w:bCs w:val="0"/>
          <w:sz w:val="32"/>
          <w:szCs w:val="32"/>
          <w:lang w:eastAsia="zh-CN"/>
        </w:rPr>
        <w:t>）主办或承办的各级各类篮球联赛、锦标赛、</w:t>
      </w:r>
      <w:r>
        <w:rPr>
          <w:b w:val="0"/>
          <w:bCs w:val="0"/>
          <w:sz w:val="32"/>
          <w:szCs w:val="32"/>
          <w:lang w:eastAsia="zh-CN"/>
        </w:rPr>
        <w:t>杯赛</w:t>
      </w:r>
      <w:r>
        <w:rPr>
          <w:rFonts w:hint="eastAsia"/>
          <w:b w:val="0"/>
          <w:bCs w:val="0"/>
          <w:sz w:val="32"/>
          <w:szCs w:val="32"/>
          <w:lang w:eastAsia="zh-CN"/>
        </w:rPr>
        <w:t>和</w:t>
      </w:r>
      <w:r>
        <w:rPr>
          <w:b w:val="0"/>
          <w:bCs w:val="0"/>
          <w:sz w:val="32"/>
          <w:szCs w:val="32"/>
          <w:lang w:eastAsia="zh-CN"/>
        </w:rPr>
        <w:t>邀请赛</w:t>
      </w:r>
      <w:r>
        <w:rPr>
          <w:rFonts w:hint="eastAsia"/>
          <w:b w:val="0"/>
          <w:bCs w:val="0"/>
          <w:sz w:val="32"/>
          <w:szCs w:val="32"/>
          <w:lang w:eastAsia="zh-CN"/>
        </w:rPr>
        <w:t>。</w:t>
      </w:r>
    </w:p>
    <w:p w14:paraId="66697001">
      <w:pPr>
        <w:pStyle w:val="3"/>
        <w:spacing w:before="0" w:line="520" w:lineRule="exact"/>
        <w:ind w:firstLine="640" w:firstLineChars="200"/>
        <w:jc w:val="both"/>
        <w:rPr>
          <w:b w:val="0"/>
          <w:bCs w:val="0"/>
          <w:spacing w:val="5"/>
          <w:sz w:val="32"/>
          <w:szCs w:val="32"/>
          <w:lang w:eastAsia="zh-CN"/>
        </w:rPr>
      </w:pPr>
      <w:r>
        <w:rPr>
          <w:rFonts w:hint="eastAsia"/>
          <w:b w:val="0"/>
          <w:bCs w:val="0"/>
          <w:sz w:val="32"/>
          <w:szCs w:val="32"/>
          <w:lang w:eastAsia="zh-CN"/>
        </w:rPr>
        <w:t>其他国际性篮球赛和商业性群众性篮球赛</w:t>
      </w:r>
      <w:r>
        <w:rPr>
          <w:b w:val="0"/>
          <w:bCs w:val="0"/>
          <w:sz w:val="32"/>
          <w:szCs w:val="32"/>
          <w:lang w:eastAsia="zh-CN"/>
        </w:rPr>
        <w:t>的安全管理工作，参照本规定执行。</w:t>
      </w:r>
    </w:p>
    <w:p w14:paraId="72F1BA65">
      <w:pPr>
        <w:pStyle w:val="15"/>
        <w:rPr>
          <w:bCs w:val="0"/>
        </w:rPr>
      </w:pPr>
      <w:r>
        <w:rPr>
          <w:rFonts w:hint="eastAsia" w:asciiTheme="minorEastAsia" w:hAnsiTheme="minorEastAsia" w:eastAsiaTheme="minorEastAsia"/>
          <w:bCs w:val="0"/>
        </w:rPr>
        <w:t xml:space="preserve"> </w:t>
      </w:r>
      <w:r>
        <w:rPr>
          <w:rFonts w:hint="eastAsia"/>
          <w:bCs w:val="0"/>
        </w:rPr>
        <w:t>管行业必须管安全。</w:t>
      </w:r>
      <w:r>
        <w:rPr>
          <w:bCs w:val="0"/>
        </w:rPr>
        <w:t>中国篮协按照相关法律法规及</w:t>
      </w:r>
      <w:r>
        <w:rPr>
          <w:rFonts w:hint="eastAsia"/>
          <w:bCs w:val="0"/>
        </w:rPr>
        <w:t>国家</w:t>
      </w:r>
      <w:r>
        <w:rPr>
          <w:bCs w:val="0"/>
        </w:rPr>
        <w:t>体育总局规章制度负责全国性篮球赛事活动安全管理服务和</w:t>
      </w:r>
      <w:r>
        <w:rPr>
          <w:rFonts w:hint="eastAsia"/>
          <w:bCs w:val="0"/>
        </w:rPr>
        <w:t>行业</w:t>
      </w:r>
      <w:r>
        <w:rPr>
          <w:bCs w:val="0"/>
        </w:rPr>
        <w:t>规范；</w:t>
      </w:r>
      <w:r>
        <w:rPr>
          <w:rFonts w:hint="eastAsia"/>
          <w:bCs w:val="0"/>
          <w:lang w:val="en-US" w:eastAsia="zh-CN"/>
        </w:rPr>
        <w:t>会员协会（含其所属会员组织，下同）</w:t>
      </w:r>
      <w:r>
        <w:rPr>
          <w:bCs w:val="0"/>
        </w:rPr>
        <w:t>和属地</w:t>
      </w:r>
      <w:r>
        <w:rPr>
          <w:rFonts w:hint="eastAsia"/>
          <w:bCs w:val="0"/>
        </w:rPr>
        <w:t>政府职能部门</w:t>
      </w:r>
      <w:r>
        <w:rPr>
          <w:bCs w:val="0"/>
        </w:rPr>
        <w:t>依规负责所辖区域内篮球赛事活动安全管理服务和</w:t>
      </w:r>
      <w:r>
        <w:rPr>
          <w:rFonts w:hint="eastAsia"/>
          <w:bCs w:val="0"/>
        </w:rPr>
        <w:t>行业</w:t>
      </w:r>
      <w:r>
        <w:rPr>
          <w:bCs w:val="0"/>
        </w:rPr>
        <w:t>规范工作。</w:t>
      </w:r>
    </w:p>
    <w:p w14:paraId="5C2434B6">
      <w:pPr>
        <w:pStyle w:val="3"/>
        <w:spacing w:before="0" w:line="520" w:lineRule="exact"/>
        <w:ind w:firstLine="640" w:firstLineChars="200"/>
        <w:jc w:val="both"/>
        <w:rPr>
          <w:b w:val="0"/>
          <w:bCs w:val="0"/>
          <w:sz w:val="32"/>
          <w:szCs w:val="32"/>
          <w:lang w:eastAsia="zh-CN"/>
        </w:rPr>
      </w:pPr>
      <w:r>
        <w:rPr>
          <w:rFonts w:hint="eastAsia" w:ascii="黑体" w:hAnsi="黑体" w:eastAsia="黑体" w:cs="黑体"/>
          <w:b w:val="0"/>
          <w:bCs w:val="0"/>
          <w:sz w:val="32"/>
          <w:szCs w:val="32"/>
          <w:lang w:eastAsia="zh-CN"/>
        </w:rPr>
        <w:t>第四条</w:t>
      </w:r>
      <w:r>
        <w:rPr>
          <w:rFonts w:asciiTheme="minorEastAsia" w:hAnsiTheme="minorEastAsia" w:eastAsiaTheme="minorEastAsia"/>
          <w:b w:val="0"/>
          <w:bCs w:val="0"/>
          <w:sz w:val="32"/>
          <w:szCs w:val="32"/>
          <w:lang w:eastAsia="zh-CN"/>
        </w:rPr>
        <w:t xml:space="preserve"> </w:t>
      </w:r>
      <w:r>
        <w:rPr>
          <w:rFonts w:hint="eastAsia"/>
          <w:b w:val="0"/>
          <w:bCs w:val="0"/>
          <w:sz w:val="32"/>
          <w:szCs w:val="32"/>
          <w:lang w:eastAsia="zh-CN"/>
        </w:rPr>
        <w:t>管业务必须管安全。</w:t>
      </w:r>
      <w:r>
        <w:rPr>
          <w:b w:val="0"/>
          <w:bCs w:val="0"/>
          <w:sz w:val="32"/>
          <w:szCs w:val="32"/>
          <w:lang w:eastAsia="zh-CN"/>
        </w:rPr>
        <w:t>各项赛事</w:t>
      </w:r>
      <w:r>
        <w:rPr>
          <w:rFonts w:hint="eastAsia"/>
          <w:b w:val="0"/>
          <w:bCs w:val="0"/>
          <w:sz w:val="32"/>
          <w:szCs w:val="32"/>
          <w:lang w:eastAsia="zh-CN"/>
        </w:rPr>
        <w:t>组织委员会（简称组委会，含</w:t>
      </w:r>
      <w:r>
        <w:rPr>
          <w:b w:val="0"/>
          <w:bCs w:val="0"/>
          <w:sz w:val="32"/>
          <w:szCs w:val="32"/>
          <w:lang w:eastAsia="zh-CN"/>
        </w:rPr>
        <w:t>主办方、承办方、协办方等</w:t>
      </w:r>
      <w:r>
        <w:rPr>
          <w:rFonts w:hint="eastAsia"/>
          <w:b w:val="0"/>
          <w:bCs w:val="0"/>
          <w:sz w:val="32"/>
          <w:szCs w:val="32"/>
          <w:lang w:eastAsia="zh-CN"/>
        </w:rPr>
        <w:t>相关单位和人员）</w:t>
      </w:r>
      <w:r>
        <w:rPr>
          <w:b w:val="0"/>
          <w:bCs w:val="0"/>
          <w:sz w:val="32"/>
          <w:szCs w:val="32"/>
          <w:lang w:eastAsia="zh-CN"/>
        </w:rPr>
        <w:t>对篮球赛事活动安全负主体责任</w:t>
      </w:r>
      <w:r>
        <w:rPr>
          <w:rFonts w:hint="eastAsia"/>
          <w:b w:val="0"/>
          <w:bCs w:val="0"/>
          <w:sz w:val="32"/>
          <w:szCs w:val="32"/>
          <w:lang w:eastAsia="zh-CN"/>
        </w:rPr>
        <w:t>和相应的</w:t>
      </w:r>
      <w:r>
        <w:rPr>
          <w:b w:val="0"/>
          <w:bCs w:val="0"/>
          <w:sz w:val="32"/>
          <w:szCs w:val="32"/>
          <w:lang w:eastAsia="zh-CN"/>
        </w:rPr>
        <w:t>直接责任</w:t>
      </w:r>
      <w:r>
        <w:rPr>
          <w:rFonts w:hint="eastAsia"/>
          <w:b w:val="0"/>
          <w:bCs w:val="0"/>
          <w:sz w:val="32"/>
          <w:szCs w:val="32"/>
          <w:lang w:eastAsia="zh-CN"/>
        </w:rPr>
        <w:t>。必须遵守和执行国家安全工作法律法规和规范标准（见附件1：</w:t>
      </w:r>
      <w:r>
        <w:rPr>
          <w:rFonts w:hint="eastAsia"/>
          <w:b w:val="0"/>
          <w:sz w:val="32"/>
          <w:szCs w:val="32"/>
          <w:lang w:eastAsia="zh-CN"/>
        </w:rPr>
        <w:t>体育赛事安全应执行的法律法规，附件2：体育赛事安全应执行的规范和标准）。</w:t>
      </w:r>
      <w:r>
        <w:rPr>
          <w:rFonts w:hint="eastAsia"/>
          <w:b w:val="0"/>
          <w:bCs w:val="0"/>
          <w:sz w:val="32"/>
          <w:szCs w:val="32"/>
          <w:lang w:eastAsia="zh-CN"/>
        </w:rPr>
        <w:t>赛前据此并结合本赛事活动拟定的有关安全工作的方案和报告（含</w:t>
      </w:r>
      <w:r>
        <w:rPr>
          <w:b w:val="0"/>
          <w:bCs w:val="0"/>
          <w:sz w:val="32"/>
          <w:szCs w:val="32"/>
          <w:lang w:eastAsia="zh-CN"/>
        </w:rPr>
        <w:t>组织、流程、安全标准</w:t>
      </w:r>
      <w:r>
        <w:rPr>
          <w:rFonts w:hint="eastAsia"/>
          <w:b w:val="0"/>
          <w:bCs w:val="0"/>
          <w:sz w:val="32"/>
          <w:szCs w:val="32"/>
          <w:lang w:eastAsia="zh-CN"/>
        </w:rPr>
        <w:t>和应急预案等）应成文齐备，便于政府职能部门和行业管理部门备案和备查（参见附件3：篮球赛事活动安全隐患抽查情况表）。</w:t>
      </w:r>
      <w:r>
        <w:rPr>
          <w:b w:val="0"/>
          <w:bCs w:val="0"/>
          <w:sz w:val="32"/>
          <w:szCs w:val="32"/>
          <w:lang w:eastAsia="zh-CN"/>
        </w:rPr>
        <w:t>强化过程监管</w:t>
      </w:r>
      <w:r>
        <w:rPr>
          <w:rFonts w:hint="eastAsia"/>
          <w:b w:val="0"/>
          <w:bCs w:val="0"/>
          <w:sz w:val="32"/>
          <w:szCs w:val="32"/>
          <w:lang w:eastAsia="zh-CN"/>
        </w:rPr>
        <w:t>并会同公安、交通、医疗、消防、场馆等组织实施。</w:t>
      </w:r>
    </w:p>
    <w:p w14:paraId="497DAE2F">
      <w:pPr>
        <w:pStyle w:val="3"/>
        <w:spacing w:before="0" w:line="520" w:lineRule="exact"/>
        <w:ind w:firstLine="560" w:firstLineChars="200"/>
        <w:jc w:val="both"/>
        <w:rPr>
          <w:rFonts w:asciiTheme="minorEastAsia" w:hAnsiTheme="minorEastAsia" w:eastAsiaTheme="minorEastAsia"/>
          <w:b w:val="0"/>
          <w:bCs w:val="0"/>
          <w:sz w:val="28"/>
          <w:szCs w:val="28"/>
          <w:lang w:eastAsia="zh-CN"/>
        </w:rPr>
      </w:pPr>
    </w:p>
    <w:p w14:paraId="22635BFD">
      <w:pPr>
        <w:spacing w:before="0" w:line="240" w:lineRule="auto"/>
        <w:rPr>
          <w:rFonts w:asciiTheme="majorEastAsia" w:hAnsiTheme="majorEastAsia" w:eastAsiaTheme="majorEastAsia"/>
        </w:rPr>
      </w:pPr>
      <w:r>
        <w:rPr>
          <w:rFonts w:hint="eastAsia" w:asciiTheme="majorEastAsia" w:hAnsiTheme="majorEastAsia" w:eastAsiaTheme="majorEastAsia"/>
        </w:rPr>
        <w:t>第二章 赛事安全工作的基本要求</w:t>
      </w:r>
    </w:p>
    <w:p w14:paraId="42E82433">
      <w:pPr>
        <w:spacing w:before="0" w:line="240" w:lineRule="auto"/>
        <w:rPr>
          <w:rFonts w:asciiTheme="majorEastAsia" w:hAnsiTheme="majorEastAsia" w:eastAsiaTheme="majorEastAsia"/>
          <w:b w:val="0"/>
          <w:bCs w:val="0"/>
          <w:sz w:val="36"/>
          <w:szCs w:val="36"/>
        </w:rPr>
      </w:pPr>
    </w:p>
    <w:p w14:paraId="6371CCC6">
      <w:pPr>
        <w:pStyle w:val="3"/>
        <w:spacing w:before="0" w:line="520" w:lineRule="exact"/>
        <w:ind w:firstLine="528" w:firstLineChars="200"/>
        <w:jc w:val="both"/>
        <w:rPr>
          <w:b w:val="0"/>
          <w:bCs w:val="0"/>
          <w:sz w:val="32"/>
          <w:szCs w:val="32"/>
          <w:lang w:eastAsia="zh-CN"/>
        </w:rPr>
      </w:pPr>
      <w:r>
        <w:rPr>
          <w:rFonts w:cs="黑体" w:asciiTheme="minorEastAsia" w:hAnsiTheme="minorEastAsia" w:eastAsiaTheme="minorEastAsia"/>
          <w:b w:val="0"/>
          <w:bCs w:val="0"/>
          <w:spacing w:val="-8"/>
          <w:sz w:val="28"/>
          <w:szCs w:val="28"/>
          <w:lang w:eastAsia="zh-CN"/>
        </w:rPr>
        <w:t xml:space="preserve"> </w:t>
      </w:r>
      <w:r>
        <w:rPr>
          <w:rFonts w:hint="eastAsia" w:ascii="黑体" w:hAnsi="黑体" w:eastAsia="黑体" w:cs="黑体"/>
          <w:b w:val="0"/>
          <w:bCs w:val="0"/>
          <w:spacing w:val="-8"/>
          <w:sz w:val="32"/>
          <w:szCs w:val="32"/>
          <w:lang w:eastAsia="zh-CN"/>
        </w:rPr>
        <w:t>第五条</w:t>
      </w:r>
      <w:r>
        <w:rPr>
          <w:rFonts w:cs="黑体" w:asciiTheme="minorEastAsia" w:hAnsiTheme="minorEastAsia" w:eastAsiaTheme="minorEastAsia"/>
          <w:b w:val="0"/>
          <w:bCs w:val="0"/>
          <w:spacing w:val="-8"/>
          <w:sz w:val="28"/>
          <w:szCs w:val="28"/>
          <w:lang w:eastAsia="zh-CN"/>
        </w:rPr>
        <w:t xml:space="preserve">  </w:t>
      </w:r>
      <w:r>
        <w:rPr>
          <w:b w:val="0"/>
          <w:bCs w:val="0"/>
          <w:sz w:val="32"/>
          <w:szCs w:val="32"/>
          <w:lang w:eastAsia="zh-CN"/>
        </w:rPr>
        <w:t>赛</w:t>
      </w:r>
      <w:r>
        <w:rPr>
          <w:rFonts w:hint="eastAsia"/>
          <w:b w:val="0"/>
          <w:bCs w:val="0"/>
          <w:sz w:val="32"/>
          <w:szCs w:val="32"/>
          <w:lang w:eastAsia="zh-CN"/>
        </w:rPr>
        <w:t>事</w:t>
      </w:r>
      <w:r>
        <w:rPr>
          <w:b w:val="0"/>
          <w:bCs w:val="0"/>
          <w:sz w:val="32"/>
          <w:szCs w:val="32"/>
          <w:lang w:eastAsia="zh-CN"/>
        </w:rPr>
        <w:t>安全工作按照“谁主管、谁负责”</w:t>
      </w:r>
      <w:r>
        <w:rPr>
          <w:rFonts w:hint="eastAsia"/>
          <w:b w:val="0"/>
          <w:bCs w:val="0"/>
          <w:sz w:val="32"/>
          <w:szCs w:val="32"/>
          <w:lang w:eastAsia="zh-CN"/>
        </w:rPr>
        <w:t>、</w:t>
      </w:r>
      <w:r>
        <w:rPr>
          <w:b w:val="0"/>
          <w:bCs w:val="0"/>
          <w:sz w:val="32"/>
          <w:szCs w:val="32"/>
          <w:lang w:eastAsia="zh-CN"/>
        </w:rPr>
        <w:t>“谁主办、 谁负责”</w:t>
      </w:r>
      <w:r>
        <w:rPr>
          <w:rFonts w:hint="eastAsia"/>
          <w:b w:val="0"/>
          <w:bCs w:val="0"/>
          <w:sz w:val="32"/>
          <w:szCs w:val="32"/>
          <w:lang w:eastAsia="zh-CN"/>
        </w:rPr>
        <w:t>、</w:t>
      </w:r>
      <w:r>
        <w:rPr>
          <w:b w:val="0"/>
          <w:bCs w:val="0"/>
          <w:sz w:val="32"/>
          <w:szCs w:val="32"/>
          <w:lang w:eastAsia="zh-CN"/>
        </w:rPr>
        <w:t>“谁承办、谁负责”的原则。安全管理是赛事的底线</w:t>
      </w:r>
      <w:r>
        <w:rPr>
          <w:rFonts w:hint="eastAsia"/>
          <w:b w:val="0"/>
          <w:bCs w:val="0"/>
          <w:sz w:val="32"/>
          <w:szCs w:val="32"/>
          <w:lang w:eastAsia="zh-CN"/>
        </w:rPr>
        <w:t>和</w:t>
      </w:r>
      <w:r>
        <w:rPr>
          <w:b w:val="0"/>
          <w:bCs w:val="0"/>
          <w:sz w:val="32"/>
          <w:szCs w:val="32"/>
          <w:lang w:eastAsia="zh-CN"/>
        </w:rPr>
        <w:t>高压线</w:t>
      </w:r>
      <w:r>
        <w:rPr>
          <w:rFonts w:hint="eastAsia"/>
          <w:b w:val="0"/>
          <w:bCs w:val="0"/>
          <w:sz w:val="32"/>
          <w:szCs w:val="32"/>
          <w:lang w:eastAsia="zh-CN"/>
        </w:rPr>
        <w:t>，必须</w:t>
      </w:r>
      <w:r>
        <w:rPr>
          <w:b w:val="0"/>
          <w:bCs w:val="0"/>
          <w:sz w:val="32"/>
          <w:szCs w:val="32"/>
          <w:lang w:eastAsia="zh-CN"/>
        </w:rPr>
        <w:t>坚持生命至上、人民至上，充分认识</w:t>
      </w:r>
      <w:r>
        <w:rPr>
          <w:rFonts w:hint="eastAsia"/>
          <w:b w:val="0"/>
          <w:bCs w:val="0"/>
          <w:sz w:val="32"/>
          <w:szCs w:val="32"/>
          <w:lang w:eastAsia="zh-CN"/>
        </w:rPr>
        <w:t>篮球</w:t>
      </w:r>
      <w:r>
        <w:rPr>
          <w:b w:val="0"/>
          <w:bCs w:val="0"/>
          <w:sz w:val="32"/>
          <w:szCs w:val="32"/>
          <w:lang w:eastAsia="zh-CN"/>
        </w:rPr>
        <w:t>赛事安全管理工作的严峻性、多样性和复杂性，完成大型</w:t>
      </w:r>
      <w:r>
        <w:rPr>
          <w:rFonts w:hint="eastAsia"/>
          <w:b w:val="0"/>
          <w:bCs w:val="0"/>
          <w:sz w:val="32"/>
          <w:szCs w:val="32"/>
          <w:lang w:eastAsia="zh-CN"/>
        </w:rPr>
        <w:t>赛事</w:t>
      </w:r>
      <w:r>
        <w:rPr>
          <w:b w:val="0"/>
          <w:bCs w:val="0"/>
          <w:sz w:val="32"/>
          <w:szCs w:val="32"/>
          <w:lang w:eastAsia="zh-CN"/>
        </w:rPr>
        <w:t>活动安全许可审批程序</w:t>
      </w:r>
      <w:r>
        <w:rPr>
          <w:rFonts w:hint="eastAsia"/>
          <w:b w:val="0"/>
          <w:bCs w:val="0"/>
          <w:sz w:val="32"/>
          <w:szCs w:val="32"/>
          <w:lang w:eastAsia="zh-CN"/>
        </w:rPr>
        <w:t>或备案程序。</w:t>
      </w:r>
      <w:r>
        <w:rPr>
          <w:b w:val="0"/>
          <w:bCs w:val="0"/>
          <w:sz w:val="32"/>
          <w:szCs w:val="32"/>
          <w:lang w:eastAsia="zh-CN"/>
        </w:rPr>
        <w:t>在赛事筹办和举办过程中务必树牢底线思维、极限思维</w:t>
      </w:r>
      <w:r>
        <w:rPr>
          <w:rFonts w:hint="eastAsia"/>
          <w:b w:val="0"/>
          <w:bCs w:val="0"/>
          <w:sz w:val="32"/>
          <w:szCs w:val="32"/>
          <w:lang w:eastAsia="zh-CN"/>
        </w:rPr>
        <w:t>和</w:t>
      </w:r>
      <w:r>
        <w:rPr>
          <w:b w:val="0"/>
          <w:bCs w:val="0"/>
          <w:sz w:val="32"/>
          <w:szCs w:val="32"/>
          <w:lang w:eastAsia="zh-CN"/>
        </w:rPr>
        <w:t>风险意识</w:t>
      </w:r>
      <w:r>
        <w:rPr>
          <w:rFonts w:hint="eastAsia"/>
          <w:b w:val="0"/>
          <w:bCs w:val="0"/>
          <w:sz w:val="32"/>
          <w:szCs w:val="32"/>
          <w:lang w:eastAsia="zh-CN"/>
        </w:rPr>
        <w:t>，</w:t>
      </w:r>
      <w:r>
        <w:rPr>
          <w:b w:val="0"/>
          <w:bCs w:val="0"/>
          <w:sz w:val="32"/>
          <w:szCs w:val="32"/>
          <w:lang w:eastAsia="zh-CN"/>
        </w:rPr>
        <w:t>要明确赛事主办方、承办方、协办方等单位的安全管理职责</w:t>
      </w:r>
      <w:r>
        <w:rPr>
          <w:rFonts w:hint="eastAsia"/>
          <w:b w:val="0"/>
          <w:bCs w:val="0"/>
          <w:sz w:val="32"/>
          <w:szCs w:val="32"/>
          <w:lang w:eastAsia="zh-CN"/>
        </w:rPr>
        <w:t>和义务。组委会组织机构中</w:t>
      </w:r>
      <w:r>
        <w:rPr>
          <w:b w:val="0"/>
          <w:bCs w:val="0"/>
          <w:sz w:val="32"/>
          <w:szCs w:val="32"/>
          <w:lang w:eastAsia="zh-CN"/>
        </w:rPr>
        <w:t>要成立赛事安全保卫组，制定周密的安全工作方案，</w:t>
      </w:r>
      <w:r>
        <w:rPr>
          <w:rFonts w:hint="eastAsia"/>
          <w:b w:val="0"/>
          <w:bCs w:val="0"/>
          <w:sz w:val="32"/>
          <w:szCs w:val="32"/>
          <w:lang w:eastAsia="zh-CN"/>
        </w:rPr>
        <w:t>按《中国篮球协会竞赛指南》落实相关九项工作职责。</w:t>
      </w:r>
      <w:r>
        <w:rPr>
          <w:b w:val="0"/>
          <w:bCs w:val="0"/>
          <w:sz w:val="32"/>
          <w:szCs w:val="32"/>
          <w:lang w:eastAsia="zh-CN"/>
        </w:rPr>
        <w:t>从现场安全保障、安全应急处置、舆情管理与危机公关等方面，加强赛事活动赛前安全检查和风险评估、赛中全面保障、赛后总结评价工作</w:t>
      </w:r>
      <w:r>
        <w:rPr>
          <w:rFonts w:hint="eastAsia"/>
          <w:b w:val="0"/>
          <w:bCs w:val="0"/>
          <w:sz w:val="32"/>
          <w:szCs w:val="32"/>
          <w:lang w:eastAsia="zh-CN"/>
        </w:rPr>
        <w:t>，</w:t>
      </w:r>
      <w:r>
        <w:rPr>
          <w:b w:val="0"/>
          <w:bCs w:val="0"/>
          <w:spacing w:val="-3"/>
          <w:sz w:val="32"/>
          <w:szCs w:val="32"/>
          <w:lang w:eastAsia="zh-CN"/>
        </w:rPr>
        <w:t>把各项赛事安全管理工作做实、</w:t>
      </w:r>
      <w:r>
        <w:rPr>
          <w:rFonts w:hint="eastAsia"/>
          <w:b w:val="0"/>
          <w:bCs w:val="0"/>
          <w:spacing w:val="-3"/>
          <w:sz w:val="32"/>
          <w:szCs w:val="32"/>
          <w:lang w:eastAsia="zh-CN"/>
        </w:rPr>
        <w:t xml:space="preserve"> </w:t>
      </w:r>
      <w:r>
        <w:rPr>
          <w:b w:val="0"/>
          <w:bCs w:val="0"/>
          <w:sz w:val="32"/>
          <w:szCs w:val="32"/>
          <w:lang w:eastAsia="zh-CN"/>
        </w:rPr>
        <w:t>做细、做到位。</w:t>
      </w:r>
    </w:p>
    <w:p w14:paraId="45937A13">
      <w:pPr>
        <w:pStyle w:val="3"/>
        <w:spacing w:before="0" w:line="520" w:lineRule="exact"/>
        <w:ind w:firstLine="580" w:firstLineChars="200"/>
        <w:jc w:val="both"/>
        <w:rPr>
          <w:b w:val="0"/>
          <w:bCs w:val="0"/>
          <w:sz w:val="32"/>
          <w:szCs w:val="32"/>
          <w:lang w:eastAsia="zh-CN"/>
        </w:rPr>
      </w:pPr>
      <w:r>
        <w:rPr>
          <w:rFonts w:hint="eastAsia" w:asciiTheme="minorEastAsia" w:hAnsiTheme="minorEastAsia" w:eastAsiaTheme="minorEastAsia"/>
          <w:b w:val="0"/>
          <w:bCs w:val="0"/>
          <w:spacing w:val="5"/>
          <w:sz w:val="28"/>
          <w:szCs w:val="28"/>
          <w:lang w:eastAsia="zh-CN"/>
        </w:rPr>
        <w:t xml:space="preserve"> </w:t>
      </w:r>
      <w:r>
        <w:rPr>
          <w:rFonts w:ascii="黑体" w:hAnsi="黑体" w:eastAsia="黑体" w:cs="黑体"/>
          <w:b w:val="0"/>
          <w:bCs w:val="0"/>
          <w:spacing w:val="2"/>
          <w:sz w:val="32"/>
          <w:szCs w:val="32"/>
          <w:lang w:eastAsia="zh-CN"/>
        </w:rPr>
        <w:t>第</w:t>
      </w:r>
      <w:r>
        <w:rPr>
          <w:rFonts w:hint="eastAsia" w:ascii="黑体" w:hAnsi="黑体" w:eastAsia="黑体" w:cs="黑体"/>
          <w:b w:val="0"/>
          <w:bCs w:val="0"/>
          <w:spacing w:val="2"/>
          <w:sz w:val="32"/>
          <w:szCs w:val="32"/>
          <w:lang w:eastAsia="zh-CN"/>
        </w:rPr>
        <w:t>六</w:t>
      </w:r>
      <w:r>
        <w:rPr>
          <w:rFonts w:ascii="黑体" w:hAnsi="黑体" w:eastAsia="黑体" w:cs="黑体"/>
          <w:b w:val="0"/>
          <w:bCs w:val="0"/>
          <w:spacing w:val="2"/>
          <w:sz w:val="32"/>
          <w:szCs w:val="32"/>
          <w:lang w:eastAsia="zh-CN"/>
        </w:rPr>
        <w:t>条</w:t>
      </w:r>
      <w:r>
        <w:rPr>
          <w:rFonts w:cs="黑体" w:asciiTheme="minorEastAsia" w:hAnsiTheme="minorEastAsia" w:eastAsiaTheme="minorEastAsia"/>
          <w:b w:val="0"/>
          <w:bCs w:val="0"/>
          <w:spacing w:val="2"/>
          <w:sz w:val="28"/>
          <w:szCs w:val="28"/>
          <w:lang w:eastAsia="zh-CN"/>
        </w:rPr>
        <w:t xml:space="preserve">  </w:t>
      </w:r>
      <w:r>
        <w:rPr>
          <w:b w:val="0"/>
          <w:bCs w:val="0"/>
          <w:sz w:val="32"/>
          <w:szCs w:val="32"/>
          <w:lang w:eastAsia="zh-CN"/>
        </w:rPr>
        <w:t>赛事</w:t>
      </w:r>
      <w:r>
        <w:rPr>
          <w:rFonts w:hint="eastAsia"/>
          <w:b w:val="0"/>
          <w:bCs w:val="0"/>
          <w:sz w:val="32"/>
          <w:szCs w:val="32"/>
          <w:lang w:eastAsia="zh-CN"/>
        </w:rPr>
        <w:t>举办方(含主办方、承办方和协办方，以下合并简称举办方）</w:t>
      </w:r>
      <w:r>
        <w:rPr>
          <w:b w:val="0"/>
          <w:bCs w:val="0"/>
          <w:sz w:val="32"/>
          <w:szCs w:val="32"/>
          <w:lang w:eastAsia="zh-CN"/>
        </w:rPr>
        <w:t>应当积极争取当地政府的支持，主动协调属地公安</w:t>
      </w:r>
      <w:r>
        <w:rPr>
          <w:rFonts w:hint="eastAsia"/>
          <w:b w:val="0"/>
          <w:bCs w:val="0"/>
          <w:sz w:val="32"/>
          <w:szCs w:val="32"/>
          <w:lang w:eastAsia="zh-CN"/>
        </w:rPr>
        <w:t>消防</w:t>
      </w:r>
      <w:r>
        <w:rPr>
          <w:b w:val="0"/>
          <w:bCs w:val="0"/>
          <w:sz w:val="32"/>
          <w:szCs w:val="32"/>
          <w:lang w:eastAsia="zh-CN"/>
        </w:rPr>
        <w:t>、交通运输、通信管理、文化旅游、卫生健康、应急管理、市场监管、自然资源、气象等部门，统筹</w:t>
      </w:r>
      <w:r>
        <w:rPr>
          <w:rFonts w:hint="eastAsia"/>
          <w:b w:val="0"/>
          <w:bCs w:val="0"/>
          <w:sz w:val="32"/>
          <w:szCs w:val="32"/>
          <w:lang w:eastAsia="zh-CN"/>
        </w:rPr>
        <w:t>负责</w:t>
      </w:r>
      <w:r>
        <w:rPr>
          <w:b w:val="0"/>
          <w:bCs w:val="0"/>
          <w:sz w:val="32"/>
          <w:szCs w:val="32"/>
          <w:lang w:eastAsia="zh-CN"/>
        </w:rPr>
        <w:t>赛场安全设施建设、赛场周边环境整治、</w:t>
      </w:r>
      <w:r>
        <w:rPr>
          <w:rFonts w:hint="eastAsia"/>
          <w:b w:val="0"/>
          <w:bCs w:val="0"/>
          <w:sz w:val="32"/>
          <w:szCs w:val="32"/>
          <w:lang w:eastAsia="zh-CN"/>
        </w:rPr>
        <w:t>交通</w:t>
      </w:r>
      <w:r>
        <w:rPr>
          <w:b w:val="0"/>
          <w:bCs w:val="0"/>
          <w:sz w:val="32"/>
          <w:szCs w:val="32"/>
          <w:lang w:eastAsia="zh-CN"/>
        </w:rPr>
        <w:t>运行保障、球迷管理、赛场秩序维护、社会舆论引导等相关赛事安全管理工作</w:t>
      </w:r>
      <w:r>
        <w:rPr>
          <w:rFonts w:hint="eastAsia"/>
          <w:b w:val="0"/>
          <w:bCs w:val="0"/>
          <w:sz w:val="32"/>
          <w:szCs w:val="32"/>
          <w:lang w:eastAsia="zh-CN"/>
        </w:rPr>
        <w:t>，</w:t>
      </w:r>
      <w:r>
        <w:rPr>
          <w:b w:val="0"/>
          <w:bCs w:val="0"/>
          <w:sz w:val="32"/>
          <w:szCs w:val="32"/>
          <w:lang w:eastAsia="zh-CN"/>
        </w:rPr>
        <w:t>建立健全服务保障、监督管理机制和应急处置机制</w:t>
      </w:r>
      <w:r>
        <w:rPr>
          <w:rFonts w:hint="eastAsia"/>
          <w:b w:val="0"/>
          <w:bCs w:val="0"/>
          <w:sz w:val="32"/>
          <w:szCs w:val="32"/>
          <w:lang w:eastAsia="zh-CN"/>
        </w:rPr>
        <w:t>。对参赛运动员进行安全教育并要求参赛运动员签订参赛免责承诺书（附件4：篮球赛事活动运动员参赛免责承诺书）。</w:t>
      </w:r>
    </w:p>
    <w:p w14:paraId="63E07616">
      <w:pPr>
        <w:pStyle w:val="3"/>
        <w:spacing w:before="0" w:line="520" w:lineRule="exact"/>
        <w:ind w:firstLine="672" w:firstLineChars="200"/>
        <w:jc w:val="both"/>
        <w:rPr>
          <w:b w:val="0"/>
          <w:bCs w:val="0"/>
          <w:sz w:val="32"/>
          <w:szCs w:val="32"/>
          <w:lang w:eastAsia="zh-CN"/>
        </w:rPr>
      </w:pPr>
      <w:r>
        <w:rPr>
          <w:rFonts w:ascii="黑体" w:hAnsi="黑体" w:eastAsia="黑体" w:cs="黑体"/>
          <w:b w:val="0"/>
          <w:bCs w:val="0"/>
          <w:spacing w:val="8"/>
          <w:sz w:val="32"/>
          <w:szCs w:val="32"/>
          <w:lang w:eastAsia="zh-CN"/>
        </w:rPr>
        <w:t>第</w:t>
      </w:r>
      <w:r>
        <w:rPr>
          <w:rFonts w:hint="eastAsia" w:ascii="黑体" w:hAnsi="黑体" w:eastAsia="黑体" w:cs="黑体"/>
          <w:b w:val="0"/>
          <w:bCs w:val="0"/>
          <w:spacing w:val="8"/>
          <w:sz w:val="32"/>
          <w:szCs w:val="32"/>
          <w:lang w:eastAsia="zh-CN"/>
        </w:rPr>
        <w:t>七</w:t>
      </w:r>
      <w:r>
        <w:rPr>
          <w:rFonts w:ascii="黑体" w:hAnsi="黑体" w:eastAsia="黑体" w:cs="黑体"/>
          <w:b w:val="0"/>
          <w:bCs w:val="0"/>
          <w:spacing w:val="8"/>
          <w:sz w:val="32"/>
          <w:szCs w:val="32"/>
          <w:lang w:eastAsia="zh-CN"/>
        </w:rPr>
        <w:t>条</w:t>
      </w:r>
      <w:r>
        <w:rPr>
          <w:rFonts w:ascii="黑体" w:hAnsi="黑体" w:eastAsia="黑体" w:cs="黑体"/>
          <w:b w:val="0"/>
          <w:bCs w:val="0"/>
          <w:sz w:val="32"/>
          <w:szCs w:val="32"/>
          <w:lang w:eastAsia="zh-CN"/>
        </w:rPr>
        <w:t xml:space="preserve"> </w:t>
      </w:r>
      <w:r>
        <w:rPr>
          <w:rFonts w:cs="黑体" w:asciiTheme="minorEastAsia" w:hAnsiTheme="minorEastAsia" w:eastAsiaTheme="minorEastAsia"/>
          <w:b w:val="0"/>
          <w:bCs w:val="0"/>
          <w:sz w:val="28"/>
          <w:szCs w:val="28"/>
          <w:lang w:eastAsia="zh-CN"/>
        </w:rPr>
        <w:t xml:space="preserve"> </w:t>
      </w:r>
      <w:r>
        <w:rPr>
          <w:b w:val="0"/>
          <w:bCs w:val="0"/>
          <w:sz w:val="32"/>
          <w:szCs w:val="32"/>
          <w:lang w:eastAsia="zh-CN"/>
        </w:rPr>
        <w:t>赛事</w:t>
      </w:r>
      <w:r>
        <w:rPr>
          <w:rFonts w:hint="eastAsia"/>
          <w:b w:val="0"/>
          <w:bCs w:val="0"/>
          <w:sz w:val="32"/>
          <w:szCs w:val="32"/>
          <w:lang w:eastAsia="zh-CN"/>
        </w:rPr>
        <w:t>举办方</w:t>
      </w:r>
      <w:r>
        <w:rPr>
          <w:b w:val="0"/>
          <w:bCs w:val="0"/>
          <w:sz w:val="32"/>
          <w:szCs w:val="32"/>
          <w:lang w:eastAsia="zh-CN"/>
        </w:rPr>
        <w:t>应按照安全工作的规定和要求，</w:t>
      </w:r>
      <w:r>
        <w:rPr>
          <w:rFonts w:hint="eastAsia"/>
          <w:b w:val="0"/>
          <w:bCs w:val="0"/>
          <w:sz w:val="32"/>
          <w:szCs w:val="32"/>
          <w:lang w:eastAsia="zh-CN"/>
        </w:rPr>
        <w:t>根据实际情况，拟定相关安全系列方案（合并简称“</w:t>
      </w:r>
      <w:r>
        <w:rPr>
          <w:rFonts w:hint="eastAsia"/>
          <w:b w:val="0"/>
          <w:bCs w:val="0"/>
          <w:sz w:val="32"/>
          <w:szCs w:val="32"/>
          <w:lang w:val="en-US" w:eastAsia="zh-CN"/>
        </w:rPr>
        <w:t>四</w:t>
      </w:r>
      <w:r>
        <w:rPr>
          <w:b w:val="0"/>
          <w:bCs w:val="0"/>
          <w:sz w:val="32"/>
          <w:szCs w:val="32"/>
          <w:lang w:eastAsia="zh-CN"/>
        </w:rPr>
        <w:t>方案一报告</w:t>
      </w:r>
      <w:r>
        <w:rPr>
          <w:rFonts w:hint="eastAsia"/>
          <w:b w:val="0"/>
          <w:bCs w:val="0"/>
          <w:sz w:val="32"/>
          <w:szCs w:val="32"/>
          <w:lang w:val="en-US" w:eastAsia="zh-CN"/>
        </w:rPr>
        <w:t>一机制</w:t>
      </w:r>
      <w:r>
        <w:rPr>
          <w:rFonts w:hint="eastAsia"/>
          <w:b w:val="0"/>
          <w:bCs w:val="0"/>
          <w:sz w:val="32"/>
          <w:szCs w:val="32"/>
          <w:lang w:eastAsia="zh-CN"/>
        </w:rPr>
        <w:t>”）。</w:t>
      </w:r>
      <w:r>
        <w:rPr>
          <w:b w:val="0"/>
          <w:bCs w:val="0"/>
          <w:sz w:val="32"/>
          <w:szCs w:val="32"/>
          <w:lang w:eastAsia="zh-CN"/>
        </w:rPr>
        <w:t>拟定</w:t>
      </w:r>
      <w:r>
        <w:rPr>
          <w:rFonts w:hint="eastAsia"/>
          <w:b w:val="0"/>
          <w:bCs w:val="0"/>
          <w:sz w:val="32"/>
          <w:szCs w:val="32"/>
          <w:lang w:eastAsia="zh-CN"/>
        </w:rPr>
        <w:t>“</w:t>
      </w:r>
      <w:r>
        <w:rPr>
          <w:b w:val="0"/>
          <w:bCs w:val="0"/>
          <w:sz w:val="32"/>
          <w:szCs w:val="32"/>
          <w:lang w:eastAsia="zh-CN"/>
        </w:rPr>
        <w:t>赛事活动组织方案</w:t>
      </w:r>
      <w:r>
        <w:rPr>
          <w:rFonts w:hint="eastAsia"/>
          <w:b w:val="0"/>
          <w:bCs w:val="0"/>
          <w:sz w:val="32"/>
          <w:szCs w:val="32"/>
          <w:lang w:eastAsia="zh-CN"/>
        </w:rPr>
        <w:t>”（完善赛事审批和备案，明确办赛资质和工作人员要求）、</w:t>
      </w:r>
      <w:r>
        <w:rPr>
          <w:b w:val="0"/>
          <w:bCs w:val="0"/>
          <w:sz w:val="32"/>
          <w:szCs w:val="32"/>
          <w:lang w:eastAsia="zh-CN"/>
        </w:rPr>
        <w:t>“安全工作保障方案”、“应急演练方案</w:t>
      </w:r>
      <w:r>
        <w:rPr>
          <w:rFonts w:hint="eastAsia"/>
          <w:b w:val="0"/>
          <w:bCs w:val="0"/>
          <w:sz w:val="32"/>
          <w:szCs w:val="32"/>
          <w:lang w:eastAsia="zh-CN"/>
        </w:rPr>
        <w:t>（对应急工作至少进行一次人员和设备演练）</w:t>
      </w:r>
      <w:r>
        <w:rPr>
          <w:b w:val="0"/>
          <w:bCs w:val="0"/>
          <w:sz w:val="32"/>
          <w:szCs w:val="32"/>
          <w:lang w:eastAsia="zh-CN"/>
        </w:rPr>
        <w:t>”、</w:t>
      </w:r>
      <w:r>
        <w:rPr>
          <w:rFonts w:hint="eastAsia"/>
          <w:b w:val="0"/>
          <w:bCs w:val="0"/>
          <w:sz w:val="32"/>
          <w:szCs w:val="32"/>
          <w:lang w:eastAsia="zh-CN"/>
        </w:rPr>
        <w:t>“疫情及传染病防控方案”（视情研制）、“</w:t>
      </w:r>
      <w:r>
        <w:rPr>
          <w:b w:val="0"/>
          <w:bCs w:val="0"/>
          <w:sz w:val="32"/>
          <w:szCs w:val="32"/>
          <w:lang w:eastAsia="zh-CN"/>
        </w:rPr>
        <w:t>医疗保障及救援方案</w:t>
      </w:r>
      <w:r>
        <w:rPr>
          <w:rFonts w:hint="eastAsia"/>
          <w:b w:val="0"/>
          <w:bCs w:val="0"/>
          <w:sz w:val="32"/>
          <w:szCs w:val="32"/>
          <w:lang w:eastAsia="zh-CN"/>
        </w:rPr>
        <w:t>”</w:t>
      </w:r>
      <w:r>
        <w:rPr>
          <w:b w:val="0"/>
          <w:bCs w:val="0"/>
          <w:sz w:val="32"/>
          <w:szCs w:val="32"/>
          <w:lang w:eastAsia="zh-CN"/>
        </w:rPr>
        <w:t>、等方案</w:t>
      </w:r>
      <w:r>
        <w:rPr>
          <w:rFonts w:hint="eastAsia"/>
          <w:b w:val="0"/>
          <w:bCs w:val="0"/>
          <w:sz w:val="32"/>
          <w:szCs w:val="32"/>
          <w:lang w:eastAsia="zh-CN"/>
        </w:rPr>
        <w:t>，还有赛事</w:t>
      </w:r>
      <w:r>
        <w:rPr>
          <w:b w:val="0"/>
          <w:bCs w:val="0"/>
          <w:sz w:val="32"/>
          <w:szCs w:val="32"/>
          <w:lang w:eastAsia="zh-CN"/>
        </w:rPr>
        <w:t>风险评估报告</w:t>
      </w:r>
      <w:r>
        <w:rPr>
          <w:rFonts w:hint="eastAsia"/>
          <w:b w:val="0"/>
          <w:bCs w:val="0"/>
          <w:sz w:val="32"/>
          <w:szCs w:val="32"/>
          <w:lang w:eastAsia="zh-CN"/>
        </w:rPr>
        <w:t>（</w:t>
      </w:r>
      <w:r>
        <w:rPr>
          <w:b w:val="0"/>
          <w:bCs w:val="0"/>
          <w:sz w:val="32"/>
          <w:szCs w:val="32"/>
          <w:lang w:eastAsia="zh-CN"/>
        </w:rPr>
        <w:t>分析研判赛风赛纪风险、赛事安全隐患</w:t>
      </w:r>
      <w:r>
        <w:rPr>
          <w:rFonts w:hint="eastAsia"/>
          <w:b w:val="0"/>
          <w:bCs w:val="0"/>
          <w:sz w:val="32"/>
          <w:szCs w:val="32"/>
          <w:lang w:eastAsia="zh-CN"/>
        </w:rPr>
        <w:t>，明确分险等级）</w:t>
      </w:r>
      <w:r>
        <w:rPr>
          <w:rFonts w:hint="eastAsia"/>
          <w:b w:val="0"/>
          <w:bCs w:val="0"/>
          <w:sz w:val="32"/>
          <w:szCs w:val="32"/>
          <w:lang w:val="en-US" w:eastAsia="zh-CN"/>
        </w:rPr>
        <w:t>和</w:t>
      </w:r>
      <w:r>
        <w:rPr>
          <w:b w:val="0"/>
          <w:bCs w:val="0"/>
          <w:sz w:val="32"/>
          <w:szCs w:val="32"/>
          <w:lang w:eastAsia="zh-CN"/>
        </w:rPr>
        <w:t>“</w:t>
      </w:r>
      <w:r>
        <w:rPr>
          <w:rFonts w:hint="eastAsia"/>
          <w:b w:val="0"/>
          <w:bCs w:val="0"/>
          <w:sz w:val="32"/>
          <w:szCs w:val="32"/>
          <w:lang w:eastAsia="zh-CN"/>
        </w:rPr>
        <w:t>赛事活动</w:t>
      </w:r>
      <w:r>
        <w:rPr>
          <w:b w:val="0"/>
          <w:bCs w:val="0"/>
          <w:sz w:val="32"/>
          <w:szCs w:val="32"/>
          <w:lang w:eastAsia="zh-CN"/>
        </w:rPr>
        <w:t>熔断</w:t>
      </w:r>
      <w:r>
        <w:rPr>
          <w:rFonts w:hint="eastAsia"/>
          <w:b w:val="0"/>
          <w:bCs w:val="0"/>
          <w:sz w:val="32"/>
          <w:szCs w:val="32"/>
          <w:lang w:eastAsia="zh-CN"/>
        </w:rPr>
        <w:t>工作</w:t>
      </w:r>
      <w:r>
        <w:rPr>
          <w:rFonts w:hint="eastAsia"/>
          <w:b w:val="0"/>
          <w:bCs w:val="0"/>
          <w:sz w:val="32"/>
          <w:szCs w:val="32"/>
          <w:lang w:val="en-US" w:eastAsia="zh-CN"/>
        </w:rPr>
        <w:t>机制</w:t>
      </w:r>
      <w:r>
        <w:rPr>
          <w:b w:val="0"/>
          <w:bCs w:val="0"/>
          <w:sz w:val="32"/>
          <w:szCs w:val="32"/>
          <w:lang w:eastAsia="zh-CN"/>
        </w:rPr>
        <w:t>”。</w:t>
      </w:r>
      <w:r>
        <w:rPr>
          <w:rFonts w:hint="eastAsia"/>
          <w:b w:val="0"/>
          <w:bCs w:val="0"/>
          <w:sz w:val="32"/>
          <w:szCs w:val="32"/>
          <w:lang w:eastAsia="zh-CN"/>
        </w:rPr>
        <w:t>应将安全风险管理应急处置融入到办赛的各个领域和环节，</w:t>
      </w:r>
      <w:r>
        <w:rPr>
          <w:rFonts w:hint="eastAsia"/>
          <w:b w:val="0"/>
          <w:bCs w:val="0"/>
          <w:sz w:val="32"/>
          <w:szCs w:val="32"/>
          <w:lang w:val="en-US" w:eastAsia="zh-CN"/>
        </w:rPr>
        <w:t>协调</w:t>
      </w:r>
      <w:r>
        <w:rPr>
          <w:rFonts w:hint="eastAsia"/>
          <w:b w:val="0"/>
          <w:bCs w:val="0"/>
          <w:sz w:val="32"/>
          <w:szCs w:val="32"/>
          <w:lang w:eastAsia="zh-CN"/>
        </w:rPr>
        <w:t>政府相关部门</w:t>
      </w:r>
      <w:r>
        <w:rPr>
          <w:b w:val="0"/>
          <w:bCs w:val="0"/>
          <w:sz w:val="32"/>
          <w:szCs w:val="32"/>
          <w:lang w:eastAsia="zh-CN"/>
        </w:rPr>
        <w:t>做到全流程管理、全类型管理、全员管理</w:t>
      </w:r>
      <w:r>
        <w:rPr>
          <w:rFonts w:hint="eastAsia"/>
          <w:b w:val="0"/>
          <w:bCs w:val="0"/>
          <w:sz w:val="32"/>
          <w:szCs w:val="32"/>
          <w:lang w:eastAsia="zh-CN"/>
        </w:rPr>
        <w:t>，</w:t>
      </w:r>
      <w:r>
        <w:rPr>
          <w:b w:val="0"/>
          <w:bCs w:val="0"/>
          <w:sz w:val="32"/>
          <w:szCs w:val="32"/>
          <w:lang w:eastAsia="zh-CN"/>
        </w:rPr>
        <w:t>协</w:t>
      </w:r>
      <w:r>
        <w:rPr>
          <w:rFonts w:hint="eastAsia"/>
          <w:b w:val="0"/>
          <w:bCs w:val="0"/>
          <w:sz w:val="32"/>
          <w:szCs w:val="32"/>
          <w:lang w:val="en-US" w:eastAsia="zh-CN"/>
        </w:rPr>
        <w:t>调</w:t>
      </w:r>
      <w:r>
        <w:rPr>
          <w:b w:val="0"/>
          <w:bCs w:val="0"/>
          <w:sz w:val="32"/>
          <w:szCs w:val="32"/>
          <w:lang w:eastAsia="zh-CN"/>
        </w:rPr>
        <w:t>应急救援</w:t>
      </w:r>
      <w:r>
        <w:rPr>
          <w:rFonts w:hint="eastAsia"/>
          <w:b w:val="0"/>
          <w:bCs w:val="0"/>
          <w:sz w:val="32"/>
          <w:szCs w:val="32"/>
          <w:lang w:val="en-US" w:eastAsia="zh-CN"/>
        </w:rPr>
        <w:t>等，</w:t>
      </w:r>
      <w:r>
        <w:rPr>
          <w:rFonts w:hint="eastAsia"/>
          <w:b w:val="0"/>
          <w:bCs w:val="0"/>
          <w:sz w:val="32"/>
          <w:szCs w:val="32"/>
          <w:lang w:eastAsia="zh-CN"/>
        </w:rPr>
        <w:t>有效运行化解各类赛事风险。</w:t>
      </w:r>
    </w:p>
    <w:p w14:paraId="39C93B6A">
      <w:pPr>
        <w:spacing w:before="0" w:line="520" w:lineRule="exact"/>
        <w:ind w:firstLine="560" w:firstLineChars="200"/>
        <w:jc w:val="both"/>
        <w:rPr>
          <w:rFonts w:asciiTheme="minorEastAsia" w:hAnsiTheme="minorEastAsia" w:eastAsiaTheme="minorEastAsia"/>
          <w:b w:val="0"/>
          <w:bCs w:val="0"/>
          <w:sz w:val="28"/>
          <w:szCs w:val="28"/>
        </w:rPr>
      </w:pPr>
    </w:p>
    <w:p w14:paraId="4066A45A">
      <w:pPr>
        <w:spacing w:before="0" w:line="240" w:lineRule="auto"/>
        <w:rPr>
          <w:rFonts w:asciiTheme="majorEastAsia" w:hAnsiTheme="majorEastAsia" w:eastAsiaTheme="majorEastAsia"/>
        </w:rPr>
      </w:pPr>
      <w:r>
        <w:rPr>
          <w:rFonts w:hint="eastAsia" w:asciiTheme="majorEastAsia" w:hAnsiTheme="majorEastAsia" w:eastAsiaTheme="majorEastAsia"/>
        </w:rPr>
        <w:t>第三章 安全办赛各方面指南</w:t>
      </w:r>
    </w:p>
    <w:p w14:paraId="6AA65D7F">
      <w:pPr>
        <w:spacing w:before="0" w:line="240" w:lineRule="auto"/>
        <w:rPr>
          <w:rFonts w:asciiTheme="majorEastAsia" w:hAnsiTheme="majorEastAsia" w:eastAsiaTheme="majorEastAsia"/>
          <w:b w:val="0"/>
          <w:bCs w:val="0"/>
          <w:sz w:val="36"/>
          <w:szCs w:val="36"/>
        </w:rPr>
      </w:pPr>
    </w:p>
    <w:p w14:paraId="1F8BA187">
      <w:pPr>
        <w:pStyle w:val="3"/>
        <w:spacing w:before="0" w:line="520" w:lineRule="exact"/>
        <w:ind w:firstLine="656" w:firstLineChars="200"/>
        <w:jc w:val="both"/>
        <w:rPr>
          <w:b w:val="0"/>
          <w:bCs w:val="0"/>
          <w:sz w:val="32"/>
          <w:szCs w:val="32"/>
          <w:lang w:eastAsia="zh-CN"/>
        </w:rPr>
      </w:pPr>
      <w:r>
        <w:rPr>
          <w:rFonts w:ascii="黑体" w:hAnsi="黑体" w:eastAsia="黑体" w:cs="黑体"/>
          <w:b w:val="0"/>
          <w:bCs w:val="0"/>
          <w:spacing w:val="4"/>
          <w:sz w:val="32"/>
          <w:szCs w:val="32"/>
          <w:lang w:eastAsia="zh-CN"/>
        </w:rPr>
        <w:t>第</w:t>
      </w:r>
      <w:r>
        <w:rPr>
          <w:rFonts w:hint="eastAsia" w:ascii="黑体" w:hAnsi="黑体" w:eastAsia="黑体" w:cs="黑体"/>
          <w:b w:val="0"/>
          <w:bCs w:val="0"/>
          <w:spacing w:val="4"/>
          <w:sz w:val="32"/>
          <w:szCs w:val="32"/>
          <w:lang w:eastAsia="zh-CN"/>
        </w:rPr>
        <w:t>八</w:t>
      </w:r>
      <w:r>
        <w:rPr>
          <w:rFonts w:ascii="黑体" w:hAnsi="黑体" w:eastAsia="黑体" w:cs="黑体"/>
          <w:b w:val="0"/>
          <w:bCs w:val="0"/>
          <w:spacing w:val="4"/>
          <w:sz w:val="32"/>
          <w:szCs w:val="32"/>
          <w:lang w:eastAsia="zh-CN"/>
        </w:rPr>
        <w:t xml:space="preserve">条 </w:t>
      </w:r>
      <w:r>
        <w:rPr>
          <w:rFonts w:cs="黑体" w:asciiTheme="minorEastAsia" w:hAnsiTheme="minorEastAsia" w:eastAsiaTheme="minorEastAsia"/>
          <w:b w:val="0"/>
          <w:bCs w:val="0"/>
          <w:spacing w:val="4"/>
          <w:sz w:val="28"/>
          <w:szCs w:val="28"/>
          <w:lang w:eastAsia="zh-CN"/>
        </w:rPr>
        <w:t xml:space="preserve"> </w:t>
      </w:r>
      <w:r>
        <w:rPr>
          <w:rFonts w:hint="eastAsia"/>
          <w:b w:val="0"/>
          <w:bCs w:val="0"/>
          <w:sz w:val="32"/>
          <w:szCs w:val="32"/>
          <w:lang w:eastAsia="zh-CN"/>
        </w:rPr>
        <w:t>场馆设施安全管理</w:t>
      </w:r>
    </w:p>
    <w:p w14:paraId="0F4AB9CB">
      <w:pPr>
        <w:pStyle w:val="3"/>
        <w:spacing w:before="0" w:line="520" w:lineRule="exact"/>
        <w:ind w:firstLine="640" w:firstLineChars="200"/>
        <w:jc w:val="both"/>
        <w:rPr>
          <w:b w:val="0"/>
          <w:bCs w:val="0"/>
          <w:sz w:val="32"/>
          <w:szCs w:val="32"/>
          <w:lang w:eastAsia="zh-CN"/>
        </w:rPr>
      </w:pPr>
      <w:r>
        <w:rPr>
          <w:rFonts w:hint="eastAsia"/>
          <w:b w:val="0"/>
          <w:bCs w:val="0"/>
          <w:sz w:val="32"/>
          <w:szCs w:val="32"/>
          <w:lang w:eastAsia="zh-CN"/>
        </w:rPr>
        <w:t>各比赛场馆要严格执行有关体育场设施管理规定和安全规范。赛事举办方应当请有关部门对比赛场馆建筑结构、疏散条件、广播系统、照明设施、看台、停车设施等各项安全设施进行全面严格检查，确保符合国家安全规范要求。</w:t>
      </w:r>
    </w:p>
    <w:p w14:paraId="46F2B23F">
      <w:pPr>
        <w:pStyle w:val="3"/>
        <w:spacing w:before="0" w:line="520" w:lineRule="exact"/>
        <w:ind w:firstLine="640" w:firstLineChars="200"/>
        <w:jc w:val="both"/>
        <w:rPr>
          <w:b w:val="0"/>
          <w:bCs w:val="0"/>
          <w:sz w:val="32"/>
          <w:szCs w:val="32"/>
          <w:lang w:eastAsia="zh-CN"/>
        </w:rPr>
      </w:pPr>
      <w:r>
        <w:rPr>
          <w:b w:val="0"/>
          <w:bCs w:val="0"/>
          <w:sz w:val="32"/>
          <w:szCs w:val="32"/>
          <w:lang w:eastAsia="zh-CN"/>
        </w:rPr>
        <w:t>场地提供方</w:t>
      </w:r>
      <w:r>
        <w:rPr>
          <w:rFonts w:hint="eastAsia"/>
          <w:b w:val="0"/>
          <w:bCs w:val="0"/>
          <w:sz w:val="32"/>
          <w:szCs w:val="32"/>
          <w:lang w:eastAsia="zh-CN"/>
        </w:rPr>
        <w:t>和组委会相关部门</w:t>
      </w:r>
      <w:r>
        <w:rPr>
          <w:b w:val="0"/>
          <w:bCs w:val="0"/>
          <w:sz w:val="32"/>
          <w:szCs w:val="32"/>
          <w:lang w:eastAsia="zh-CN"/>
        </w:rPr>
        <w:t>应当</w:t>
      </w:r>
      <w:r>
        <w:rPr>
          <w:rFonts w:hint="eastAsia"/>
          <w:b w:val="0"/>
          <w:bCs w:val="0"/>
          <w:sz w:val="32"/>
          <w:szCs w:val="32"/>
          <w:lang w:eastAsia="zh-CN"/>
        </w:rPr>
        <w:t>协</w:t>
      </w:r>
      <w:r>
        <w:rPr>
          <w:b w:val="0"/>
          <w:bCs w:val="0"/>
          <w:sz w:val="32"/>
          <w:szCs w:val="32"/>
          <w:lang w:eastAsia="zh-CN"/>
        </w:rPr>
        <w:t>同对场馆建筑内营业场所进行全面自检，对电力设施和灯光设备进行检测、检修，防止因设备故障或线路老化等原因造成安全事故</w:t>
      </w:r>
      <w:r>
        <w:rPr>
          <w:rFonts w:hint="eastAsia"/>
          <w:b w:val="0"/>
          <w:bCs w:val="0"/>
          <w:sz w:val="32"/>
          <w:szCs w:val="32"/>
          <w:lang w:eastAsia="zh-CN"/>
        </w:rPr>
        <w:t>。应根据天气变化采取保暖或降温措施，符合国际篮联篮球竞赛规则要求</w:t>
      </w:r>
      <w:r>
        <w:rPr>
          <w:b w:val="0"/>
          <w:bCs w:val="0"/>
          <w:sz w:val="32"/>
          <w:szCs w:val="32"/>
          <w:lang w:eastAsia="zh-CN"/>
        </w:rPr>
        <w:t>。</w:t>
      </w:r>
      <w:r>
        <w:rPr>
          <w:rFonts w:hint="eastAsia"/>
          <w:b w:val="0"/>
          <w:bCs w:val="0"/>
          <w:sz w:val="32"/>
          <w:szCs w:val="32"/>
          <w:lang w:eastAsia="zh-CN"/>
        </w:rPr>
        <w:t>尤其重点确保</w:t>
      </w:r>
      <w:r>
        <w:rPr>
          <w:b w:val="0"/>
          <w:bCs w:val="0"/>
          <w:sz w:val="32"/>
          <w:szCs w:val="32"/>
          <w:lang w:eastAsia="zh-CN"/>
        </w:rPr>
        <w:t>临时搭建的设施、建筑物</w:t>
      </w:r>
      <w:r>
        <w:rPr>
          <w:rFonts w:hint="eastAsia"/>
          <w:b w:val="0"/>
          <w:bCs w:val="0"/>
          <w:sz w:val="32"/>
          <w:szCs w:val="32"/>
          <w:lang w:eastAsia="zh-CN"/>
        </w:rPr>
        <w:t>、展示物品等</w:t>
      </w:r>
      <w:r>
        <w:rPr>
          <w:b w:val="0"/>
          <w:bCs w:val="0"/>
          <w:sz w:val="32"/>
          <w:szCs w:val="32"/>
          <w:lang w:eastAsia="zh-CN"/>
        </w:rPr>
        <w:t>的安全，</w:t>
      </w:r>
      <w:r>
        <w:rPr>
          <w:rFonts w:hint="eastAsia"/>
          <w:b w:val="0"/>
          <w:bCs w:val="0"/>
          <w:sz w:val="32"/>
          <w:szCs w:val="32"/>
          <w:lang w:eastAsia="zh-CN"/>
        </w:rPr>
        <w:t>确保出入通道和救生应急通道畅通，</w:t>
      </w:r>
      <w:r>
        <w:rPr>
          <w:b w:val="0"/>
          <w:bCs w:val="0"/>
          <w:sz w:val="32"/>
          <w:szCs w:val="32"/>
          <w:lang w:eastAsia="zh-CN"/>
        </w:rPr>
        <w:t>消防器材、急救设备、照明设备等</w:t>
      </w:r>
      <w:r>
        <w:rPr>
          <w:rFonts w:hint="eastAsia"/>
          <w:b w:val="0"/>
          <w:bCs w:val="0"/>
          <w:sz w:val="32"/>
          <w:szCs w:val="32"/>
          <w:lang w:eastAsia="zh-CN"/>
        </w:rPr>
        <w:t>设施完备有效,</w:t>
      </w:r>
      <w:r>
        <w:rPr>
          <w:b w:val="0"/>
          <w:bCs w:val="0"/>
          <w:sz w:val="32"/>
          <w:szCs w:val="32"/>
          <w:lang w:eastAsia="zh-CN"/>
        </w:rPr>
        <w:t>确保在紧急情况下能够迅速投入使用</w:t>
      </w:r>
      <w:r>
        <w:rPr>
          <w:rFonts w:hint="eastAsia"/>
          <w:b w:val="0"/>
          <w:bCs w:val="0"/>
          <w:sz w:val="32"/>
          <w:szCs w:val="32"/>
          <w:lang w:eastAsia="zh-CN"/>
        </w:rPr>
        <w:t>，</w:t>
      </w:r>
      <w:r>
        <w:rPr>
          <w:b w:val="0"/>
          <w:bCs w:val="0"/>
          <w:sz w:val="32"/>
          <w:szCs w:val="32"/>
          <w:lang w:eastAsia="zh-CN"/>
        </w:rPr>
        <w:t>对发现的安全隐患立即整改。</w:t>
      </w:r>
    </w:p>
    <w:p w14:paraId="2061F1C5">
      <w:pPr>
        <w:pStyle w:val="3"/>
        <w:spacing w:before="0" w:line="520" w:lineRule="exact"/>
        <w:ind w:firstLine="640" w:firstLineChars="200"/>
        <w:jc w:val="both"/>
        <w:rPr>
          <w:rFonts w:ascii="黑体" w:hAnsi="黑体" w:eastAsia="黑体"/>
          <w:b w:val="0"/>
          <w:bCs w:val="0"/>
          <w:sz w:val="32"/>
          <w:szCs w:val="32"/>
          <w:lang w:eastAsia="zh-CN"/>
        </w:rPr>
      </w:pPr>
      <w:r>
        <w:rPr>
          <w:rFonts w:ascii="黑体" w:hAnsi="黑体" w:eastAsia="黑体" w:cs="黑体"/>
          <w:b w:val="0"/>
          <w:bCs w:val="0"/>
          <w:sz w:val="32"/>
          <w:szCs w:val="32"/>
          <w:lang w:eastAsia="zh-CN"/>
        </w:rPr>
        <w:t>第九条</w:t>
      </w:r>
      <w:r>
        <w:rPr>
          <w:rFonts w:ascii="黑体" w:hAnsi="黑体" w:eastAsia="黑体" w:cs="黑体"/>
          <w:b w:val="0"/>
          <w:bCs w:val="0"/>
          <w:spacing w:val="22"/>
          <w:sz w:val="32"/>
          <w:szCs w:val="32"/>
          <w:lang w:eastAsia="zh-CN"/>
        </w:rPr>
        <w:t xml:space="preserve">  </w:t>
      </w:r>
      <w:r>
        <w:rPr>
          <w:b w:val="0"/>
          <w:bCs w:val="0"/>
          <w:sz w:val="32"/>
          <w:szCs w:val="32"/>
          <w:lang w:eastAsia="zh-CN"/>
        </w:rPr>
        <w:t>安全保卫管理</w:t>
      </w:r>
    </w:p>
    <w:p w14:paraId="3A7B05FA">
      <w:pPr>
        <w:pStyle w:val="3"/>
        <w:spacing w:before="0" w:line="520" w:lineRule="exact"/>
        <w:ind w:firstLine="640" w:firstLineChars="200"/>
        <w:jc w:val="both"/>
        <w:rPr>
          <w:b w:val="0"/>
          <w:bCs w:val="0"/>
          <w:sz w:val="32"/>
          <w:szCs w:val="32"/>
          <w:lang w:eastAsia="zh-CN"/>
        </w:rPr>
      </w:pPr>
      <w:r>
        <w:rPr>
          <w:b w:val="0"/>
          <w:bCs w:val="0"/>
          <w:sz w:val="32"/>
          <w:szCs w:val="32"/>
          <w:lang w:eastAsia="zh-CN"/>
        </w:rPr>
        <w:t>赛事</w:t>
      </w:r>
      <w:r>
        <w:rPr>
          <w:rFonts w:hint="eastAsia"/>
          <w:b w:val="0"/>
          <w:bCs w:val="0"/>
          <w:sz w:val="32"/>
          <w:szCs w:val="32"/>
          <w:lang w:eastAsia="zh-CN"/>
        </w:rPr>
        <w:t>举办</w:t>
      </w:r>
      <w:r>
        <w:rPr>
          <w:b w:val="0"/>
          <w:bCs w:val="0"/>
          <w:sz w:val="32"/>
          <w:szCs w:val="32"/>
          <w:lang w:eastAsia="zh-CN"/>
        </w:rPr>
        <w:t>方和有关单位应加大安全保卫投入，在公安机关的指导下，根据比赛规模、风险程度等配备与安全保卫工作相适应的专业保安员，并组织必要的培训和演习，在属地公安民警的指挥、调动下开展安保工作。按照核准的比赛场馆容纳人员数量、划定的区域，发放、出售门票；</w:t>
      </w:r>
      <w:r>
        <w:rPr>
          <w:rFonts w:hint="eastAsia"/>
          <w:b w:val="0"/>
          <w:bCs w:val="0"/>
          <w:sz w:val="32"/>
          <w:szCs w:val="32"/>
          <w:lang w:eastAsia="zh-CN"/>
        </w:rPr>
        <w:t>加强看台的监督管理，观众凭票或凭证入场，不得超额，对观众较多场次进行专人现场引导和管控或限流管理，避免观众拥挤踩踏风险。场馆</w:t>
      </w:r>
      <w:r>
        <w:rPr>
          <w:b w:val="0"/>
          <w:bCs w:val="0"/>
          <w:sz w:val="32"/>
          <w:szCs w:val="32"/>
          <w:lang w:eastAsia="zh-CN"/>
        </w:rPr>
        <w:t>应</w:t>
      </w:r>
      <w:r>
        <w:rPr>
          <w:rFonts w:hint="eastAsia"/>
          <w:b w:val="0"/>
          <w:bCs w:val="0"/>
          <w:sz w:val="32"/>
          <w:szCs w:val="32"/>
          <w:lang w:eastAsia="zh-CN"/>
        </w:rPr>
        <w:t>安装视频监控系统，做到监控范围无死角、全覆盖；</w:t>
      </w:r>
      <w:r>
        <w:rPr>
          <w:b w:val="0"/>
          <w:bCs w:val="0"/>
          <w:sz w:val="32"/>
          <w:szCs w:val="32"/>
          <w:lang w:eastAsia="zh-CN"/>
        </w:rPr>
        <w:t>对妨碍赛事安全的行为及时予以制止，发现违法犯罪行为要第一时间向公安机关报告，配合做好处置工作；应按照要求配备必要的安全检查设备，做好比赛场馆、训练场地、球队</w:t>
      </w:r>
      <w:r>
        <w:rPr>
          <w:rFonts w:hint="eastAsia"/>
          <w:b w:val="0"/>
          <w:bCs w:val="0"/>
          <w:sz w:val="32"/>
          <w:szCs w:val="32"/>
          <w:lang w:eastAsia="zh-CN"/>
        </w:rPr>
        <w:t>宾馆、组委会和裁判宾馆</w:t>
      </w:r>
      <w:r>
        <w:rPr>
          <w:b w:val="0"/>
          <w:bCs w:val="0"/>
          <w:sz w:val="32"/>
          <w:szCs w:val="32"/>
          <w:lang w:eastAsia="zh-CN"/>
        </w:rPr>
        <w:t>及其他官方活动场所的安全保卫工作。</w:t>
      </w:r>
    </w:p>
    <w:p w14:paraId="729C16DD">
      <w:pPr>
        <w:pStyle w:val="3"/>
        <w:spacing w:before="0" w:line="520" w:lineRule="exact"/>
        <w:ind w:firstLine="560" w:firstLineChars="200"/>
        <w:jc w:val="both"/>
        <w:rPr>
          <w:b w:val="0"/>
          <w:bCs w:val="0"/>
          <w:sz w:val="32"/>
          <w:szCs w:val="32"/>
          <w:lang w:eastAsia="zh-CN"/>
        </w:rPr>
      </w:pPr>
      <w:r>
        <w:rPr>
          <w:rFonts w:ascii="黑体" w:hAnsi="黑体" w:eastAsia="黑体" w:cs="黑体"/>
          <w:b w:val="0"/>
          <w:bCs w:val="0"/>
          <w:sz w:val="28"/>
          <w:szCs w:val="28"/>
          <w:lang w:eastAsia="zh-CN"/>
        </w:rPr>
        <w:t>第十条</w:t>
      </w:r>
      <w:r>
        <w:rPr>
          <w:rFonts w:cs="黑体" w:asciiTheme="minorEastAsia" w:hAnsiTheme="minorEastAsia" w:eastAsiaTheme="minorEastAsia"/>
          <w:b w:val="0"/>
          <w:bCs w:val="0"/>
          <w:spacing w:val="15"/>
          <w:sz w:val="28"/>
          <w:szCs w:val="28"/>
          <w:lang w:eastAsia="zh-CN"/>
        </w:rPr>
        <w:t xml:space="preserve">  </w:t>
      </w:r>
      <w:r>
        <w:rPr>
          <w:b w:val="0"/>
          <w:bCs w:val="0"/>
          <w:sz w:val="32"/>
          <w:szCs w:val="32"/>
          <w:lang w:eastAsia="zh-CN"/>
        </w:rPr>
        <w:t>竞赛秩序管理</w:t>
      </w:r>
    </w:p>
    <w:p w14:paraId="59309F4F">
      <w:pPr>
        <w:pStyle w:val="3"/>
        <w:spacing w:before="0" w:line="520" w:lineRule="exact"/>
        <w:ind w:firstLine="640" w:firstLineChars="200"/>
        <w:jc w:val="both"/>
        <w:rPr>
          <w:b w:val="0"/>
          <w:bCs w:val="0"/>
          <w:sz w:val="32"/>
          <w:szCs w:val="32"/>
          <w:lang w:eastAsia="zh-CN"/>
        </w:rPr>
      </w:pPr>
      <w:r>
        <w:rPr>
          <w:b w:val="0"/>
          <w:bCs w:val="0"/>
          <w:sz w:val="32"/>
          <w:szCs w:val="32"/>
          <w:lang w:eastAsia="zh-CN"/>
        </w:rPr>
        <w:t>赛事</w:t>
      </w:r>
      <w:r>
        <w:rPr>
          <w:rFonts w:hint="eastAsia"/>
          <w:b w:val="0"/>
          <w:bCs w:val="0"/>
          <w:sz w:val="32"/>
          <w:szCs w:val="32"/>
          <w:lang w:eastAsia="zh-CN"/>
        </w:rPr>
        <w:t>举办</w:t>
      </w:r>
      <w:r>
        <w:rPr>
          <w:b w:val="0"/>
          <w:bCs w:val="0"/>
          <w:sz w:val="32"/>
          <w:szCs w:val="32"/>
          <w:lang w:eastAsia="zh-CN"/>
        </w:rPr>
        <w:t>方要进一步规范竞赛组织工作，</w:t>
      </w:r>
      <w:r>
        <w:rPr>
          <w:rFonts w:hint="eastAsia"/>
          <w:b w:val="0"/>
          <w:bCs w:val="0"/>
          <w:sz w:val="32"/>
          <w:szCs w:val="32"/>
          <w:lang w:eastAsia="zh-CN"/>
        </w:rPr>
        <w:t>选派符合规定和相应技术等级的</w:t>
      </w:r>
      <w:r>
        <w:rPr>
          <w:rFonts w:hint="eastAsia"/>
          <w:b w:val="0"/>
          <w:bCs w:val="0"/>
          <w:sz w:val="32"/>
          <w:szCs w:val="32"/>
          <w:lang w:val="en-US" w:eastAsia="zh-CN"/>
        </w:rPr>
        <w:t>技术官员</w:t>
      </w:r>
      <w:r>
        <w:rPr>
          <w:rFonts w:hint="eastAsia"/>
          <w:b w:val="0"/>
          <w:bCs w:val="0"/>
          <w:sz w:val="32"/>
          <w:szCs w:val="32"/>
          <w:lang w:eastAsia="zh-CN"/>
        </w:rPr>
        <w:t>，</w:t>
      </w:r>
      <w:r>
        <w:rPr>
          <w:b w:val="0"/>
          <w:bCs w:val="0"/>
          <w:sz w:val="32"/>
          <w:szCs w:val="32"/>
          <w:lang w:eastAsia="zh-CN"/>
        </w:rPr>
        <w:t>严把参赛资格关、加强对运动员年龄和资格的审查，狠抓反兴奋剂工作。应与参赛队伍建立日常沟通联络机制，严格落实赛前</w:t>
      </w:r>
      <w:r>
        <w:rPr>
          <w:b w:val="0"/>
          <w:bCs w:val="0"/>
          <w:spacing w:val="3"/>
          <w:sz w:val="32"/>
          <w:szCs w:val="32"/>
          <w:lang w:eastAsia="zh-CN"/>
        </w:rPr>
        <w:t>联席会及倒计时程序，组</w:t>
      </w:r>
      <w:r>
        <w:rPr>
          <w:b w:val="0"/>
          <w:bCs w:val="0"/>
          <w:spacing w:val="5"/>
          <w:sz w:val="32"/>
          <w:szCs w:val="32"/>
          <w:lang w:eastAsia="zh-CN"/>
        </w:rPr>
        <w:t>织赛风赛纪教育工作，杜绝</w:t>
      </w:r>
      <w:r>
        <w:rPr>
          <w:rFonts w:hint="eastAsia"/>
          <w:b w:val="0"/>
          <w:bCs w:val="0"/>
          <w:spacing w:val="5"/>
          <w:sz w:val="32"/>
          <w:szCs w:val="32"/>
          <w:lang w:eastAsia="zh-CN"/>
        </w:rPr>
        <w:t>赛场</w:t>
      </w:r>
      <w:r>
        <w:rPr>
          <w:b w:val="0"/>
          <w:bCs w:val="0"/>
          <w:spacing w:val="5"/>
          <w:sz w:val="32"/>
          <w:szCs w:val="32"/>
          <w:lang w:eastAsia="zh-CN"/>
        </w:rPr>
        <w:t>暴力等违规</w:t>
      </w:r>
      <w:r>
        <w:rPr>
          <w:b w:val="0"/>
          <w:bCs w:val="0"/>
          <w:sz w:val="32"/>
          <w:szCs w:val="32"/>
          <w:lang w:eastAsia="zh-CN"/>
        </w:rPr>
        <w:t>违纪事件的发生。</w:t>
      </w:r>
      <w:r>
        <w:rPr>
          <w:rFonts w:hint="eastAsia"/>
          <w:b w:val="0"/>
          <w:bCs w:val="0"/>
          <w:sz w:val="32"/>
          <w:szCs w:val="32"/>
          <w:lang w:eastAsia="zh-CN"/>
        </w:rPr>
        <w:t>每场比赛赛事主办单位或上级管理单位须选派经中国篮协培训认证的比赛监督，负责赛场秩序和赛风赛纪等专项工作（如比赛监督不到场，临场技术代表应履行比赛监督相关职责），督导赛区安保工作。</w:t>
      </w:r>
      <w:r>
        <w:rPr>
          <w:b w:val="0"/>
          <w:bCs w:val="0"/>
          <w:sz w:val="32"/>
          <w:szCs w:val="32"/>
          <w:lang w:eastAsia="zh-CN"/>
        </w:rPr>
        <w:t>同时</w:t>
      </w:r>
      <w:r>
        <w:rPr>
          <w:b w:val="0"/>
          <w:bCs w:val="0"/>
          <w:spacing w:val="5"/>
          <w:sz w:val="32"/>
          <w:szCs w:val="32"/>
          <w:lang w:eastAsia="zh-CN"/>
        </w:rPr>
        <w:t>加大对裁判员临场执裁的监督力度，完善申诉、抗议等纠</w:t>
      </w:r>
      <w:r>
        <w:rPr>
          <w:b w:val="0"/>
          <w:bCs w:val="0"/>
          <w:sz w:val="32"/>
          <w:szCs w:val="32"/>
          <w:lang w:eastAsia="zh-CN"/>
        </w:rPr>
        <w:t>纷处理机制和程序，公正高效地解决相关纠纷，确保各项竞赛工作规</w:t>
      </w:r>
      <w:r>
        <w:rPr>
          <w:b w:val="0"/>
          <w:bCs w:val="0"/>
          <w:spacing w:val="3"/>
          <w:sz w:val="32"/>
          <w:szCs w:val="32"/>
          <w:lang w:eastAsia="zh-CN"/>
        </w:rPr>
        <w:t>范有序进行，维护风清气正、廉洁干净的竞赛环境。</w:t>
      </w:r>
    </w:p>
    <w:p w14:paraId="3AE16676">
      <w:pPr>
        <w:pStyle w:val="3"/>
        <w:spacing w:before="0" w:line="520" w:lineRule="exact"/>
        <w:ind w:firstLine="640" w:firstLineChars="200"/>
        <w:jc w:val="both"/>
        <w:rPr>
          <w:rFonts w:asciiTheme="minorEastAsia" w:hAnsiTheme="minorEastAsia" w:eastAsiaTheme="minorEastAsia"/>
          <w:b w:val="0"/>
          <w:bCs w:val="0"/>
          <w:sz w:val="28"/>
          <w:szCs w:val="28"/>
          <w:lang w:eastAsia="zh-CN"/>
        </w:rPr>
      </w:pPr>
      <w:r>
        <w:rPr>
          <w:rFonts w:ascii="黑体" w:hAnsi="黑体" w:eastAsia="黑体" w:cs="黑体"/>
          <w:b w:val="0"/>
          <w:bCs w:val="0"/>
          <w:sz w:val="32"/>
          <w:szCs w:val="32"/>
          <w:lang w:eastAsia="zh-CN"/>
        </w:rPr>
        <w:t>第十一条</w:t>
      </w:r>
      <w:r>
        <w:rPr>
          <w:rFonts w:cs="黑体" w:asciiTheme="minorEastAsia" w:hAnsiTheme="minorEastAsia" w:eastAsiaTheme="minorEastAsia"/>
          <w:b w:val="0"/>
          <w:bCs w:val="0"/>
          <w:sz w:val="28"/>
          <w:szCs w:val="28"/>
          <w:lang w:eastAsia="zh-CN"/>
        </w:rPr>
        <w:t xml:space="preserve"> </w:t>
      </w:r>
      <w:r>
        <w:rPr>
          <w:rFonts w:cs="黑体" w:asciiTheme="minorEastAsia" w:hAnsiTheme="minorEastAsia" w:eastAsiaTheme="minorEastAsia"/>
          <w:b w:val="0"/>
          <w:bCs w:val="0"/>
          <w:spacing w:val="20"/>
          <w:sz w:val="28"/>
          <w:szCs w:val="28"/>
          <w:lang w:eastAsia="zh-CN"/>
        </w:rPr>
        <w:t xml:space="preserve"> </w:t>
      </w:r>
      <w:r>
        <w:rPr>
          <w:b w:val="0"/>
          <w:bCs w:val="0"/>
          <w:sz w:val="32"/>
          <w:szCs w:val="32"/>
          <w:lang w:eastAsia="zh-CN"/>
        </w:rPr>
        <w:t>医疗救护管理</w:t>
      </w:r>
    </w:p>
    <w:p w14:paraId="32E3F6EC">
      <w:pPr>
        <w:pStyle w:val="3"/>
        <w:spacing w:before="0" w:line="520" w:lineRule="exact"/>
        <w:ind w:firstLine="640" w:firstLineChars="200"/>
        <w:jc w:val="both"/>
        <w:rPr>
          <w:b w:val="0"/>
          <w:bCs w:val="0"/>
          <w:sz w:val="32"/>
          <w:szCs w:val="32"/>
          <w:lang w:eastAsia="zh-CN"/>
        </w:rPr>
      </w:pPr>
      <w:r>
        <w:rPr>
          <w:rFonts w:hint="eastAsia"/>
          <w:b w:val="0"/>
          <w:bCs w:val="0"/>
          <w:sz w:val="32"/>
          <w:szCs w:val="32"/>
          <w:lang w:eastAsia="zh-CN"/>
        </w:rPr>
        <w:t>赛事举办方应按照赛事标准和要求，完善赛事医疗方案及执行手册，教育强化运动员预防伤病和自我保护意识，拟定医疗应急预案（参见附件5：篮球</w:t>
      </w:r>
      <w:r>
        <w:rPr>
          <w:rFonts w:hint="eastAsia"/>
          <w:b w:val="0"/>
          <w:bCs w:val="0"/>
          <w:spacing w:val="-3"/>
          <w:sz w:val="32"/>
          <w:szCs w:val="32"/>
          <w:lang w:eastAsia="zh-CN"/>
        </w:rPr>
        <w:t>赛事活动</w:t>
      </w:r>
      <w:r>
        <w:rPr>
          <w:rFonts w:hint="eastAsia"/>
          <w:b w:val="0"/>
          <w:bCs w:val="0"/>
          <w:sz w:val="32"/>
          <w:szCs w:val="32"/>
          <w:lang w:eastAsia="zh-CN"/>
        </w:rPr>
        <w:t>运动员伤病应急预案表）。根据情况安排相关人员提供赛事保障服务，每场比赛确保至少1辆救护车全程守护，设立至少1家赛事定点医院，开辟赛事绿色通道，确保受伤人员得到及时救治。应在尽可能靠近比赛球场的地方（但不在摄像视野内）设置一个医疗急救点或医疗室，该医疗急救点应至少能容纳两名医务人员（1名医师及1名护士），免于干扰，受到保护，配备可供紧急救援的药品、担架、AED 自动体外除颤仪等急救设施。</w:t>
      </w:r>
    </w:p>
    <w:p w14:paraId="492B5547">
      <w:pPr>
        <w:pStyle w:val="3"/>
        <w:spacing w:before="0" w:line="520" w:lineRule="exact"/>
        <w:ind w:firstLine="640" w:firstLineChars="200"/>
        <w:jc w:val="both"/>
        <w:rPr>
          <w:rFonts w:asciiTheme="majorEastAsia" w:hAnsiTheme="majorEastAsia" w:eastAsiaTheme="majorEastAsia"/>
          <w:b w:val="0"/>
          <w:bCs w:val="0"/>
          <w:sz w:val="32"/>
          <w:szCs w:val="32"/>
          <w:lang w:eastAsia="zh-CN"/>
        </w:rPr>
      </w:pPr>
      <w:r>
        <w:rPr>
          <w:rFonts w:ascii="黑体" w:hAnsi="黑体" w:eastAsia="黑体" w:cs="黑体"/>
          <w:b w:val="0"/>
          <w:bCs w:val="0"/>
          <w:sz w:val="32"/>
          <w:szCs w:val="32"/>
          <w:lang w:eastAsia="zh-CN"/>
        </w:rPr>
        <w:t>第十二条</w:t>
      </w:r>
      <w:r>
        <w:rPr>
          <w:rFonts w:ascii="黑体" w:hAnsi="黑体" w:eastAsia="黑体" w:cs="黑体"/>
          <w:b w:val="0"/>
          <w:bCs w:val="0"/>
          <w:spacing w:val="6"/>
          <w:sz w:val="32"/>
          <w:szCs w:val="32"/>
          <w:lang w:eastAsia="zh-CN"/>
        </w:rPr>
        <w:t xml:space="preserve">  </w:t>
      </w:r>
      <w:r>
        <w:rPr>
          <w:rFonts w:hint="eastAsia"/>
          <w:b w:val="0"/>
          <w:bCs w:val="0"/>
          <w:sz w:val="32"/>
          <w:szCs w:val="32"/>
          <w:lang w:eastAsia="zh-CN"/>
        </w:rPr>
        <w:t>食品安全保障</w:t>
      </w:r>
    </w:p>
    <w:p w14:paraId="5F5FA904">
      <w:pPr>
        <w:pStyle w:val="3"/>
        <w:spacing w:before="0" w:line="520" w:lineRule="exact"/>
        <w:ind w:firstLine="640" w:firstLineChars="200"/>
        <w:jc w:val="both"/>
        <w:rPr>
          <w:b w:val="0"/>
          <w:bCs w:val="0"/>
          <w:sz w:val="32"/>
          <w:szCs w:val="32"/>
          <w:lang w:eastAsia="zh-CN"/>
        </w:rPr>
      </w:pPr>
      <w:r>
        <w:rPr>
          <w:b w:val="0"/>
          <w:bCs w:val="0"/>
          <w:sz w:val="32"/>
          <w:szCs w:val="32"/>
          <w:lang w:eastAsia="zh-CN"/>
        </w:rPr>
        <w:t>赛事</w:t>
      </w:r>
      <w:r>
        <w:rPr>
          <w:rFonts w:hint="eastAsia"/>
          <w:b w:val="0"/>
          <w:bCs w:val="0"/>
          <w:sz w:val="32"/>
          <w:szCs w:val="32"/>
          <w:lang w:eastAsia="zh-CN"/>
        </w:rPr>
        <w:t>举办方</w:t>
      </w:r>
      <w:r>
        <w:rPr>
          <w:b w:val="0"/>
          <w:bCs w:val="0"/>
          <w:sz w:val="32"/>
          <w:szCs w:val="32"/>
          <w:lang w:eastAsia="zh-CN"/>
        </w:rPr>
        <w:t>应做好</w:t>
      </w:r>
      <w:r>
        <w:rPr>
          <w:rFonts w:hint="eastAsia"/>
          <w:b w:val="0"/>
          <w:bCs w:val="0"/>
          <w:sz w:val="32"/>
          <w:szCs w:val="32"/>
          <w:lang w:val="en-US" w:eastAsia="zh-CN"/>
        </w:rPr>
        <w:t>赛事</w:t>
      </w:r>
      <w:r>
        <w:rPr>
          <w:b w:val="0"/>
          <w:bCs w:val="0"/>
          <w:sz w:val="32"/>
          <w:szCs w:val="32"/>
          <w:lang w:eastAsia="zh-CN"/>
        </w:rPr>
        <w:t>期间的食品安全保障工作，应会同属地监管部门</w:t>
      </w:r>
      <w:r>
        <w:rPr>
          <w:rFonts w:hint="eastAsia"/>
          <w:b w:val="0"/>
          <w:bCs w:val="0"/>
          <w:sz w:val="32"/>
          <w:szCs w:val="32"/>
          <w:lang w:eastAsia="zh-CN"/>
        </w:rPr>
        <w:t>如食品药监局</w:t>
      </w:r>
      <w:r>
        <w:rPr>
          <w:b w:val="0"/>
          <w:bCs w:val="0"/>
          <w:sz w:val="32"/>
          <w:szCs w:val="32"/>
          <w:lang w:eastAsia="zh-CN"/>
        </w:rPr>
        <w:t>根据《中华人民共和国食品安全法》等有关规定，对球队、</w:t>
      </w:r>
      <w:r>
        <w:rPr>
          <w:rFonts w:hint="eastAsia"/>
          <w:b w:val="0"/>
          <w:bCs w:val="0"/>
          <w:sz w:val="32"/>
          <w:szCs w:val="32"/>
          <w:lang w:eastAsia="zh-CN"/>
        </w:rPr>
        <w:t>裁判员、官员</w:t>
      </w:r>
      <w:r>
        <w:rPr>
          <w:b w:val="0"/>
          <w:bCs w:val="0"/>
          <w:sz w:val="32"/>
          <w:szCs w:val="32"/>
          <w:lang w:eastAsia="zh-CN"/>
        </w:rPr>
        <w:t>、媒体酒店及其他定点供餐单位进行食品安全检查。</w:t>
      </w:r>
      <w:r>
        <w:rPr>
          <w:rFonts w:hint="eastAsia"/>
          <w:b w:val="0"/>
          <w:bCs w:val="0"/>
          <w:sz w:val="32"/>
          <w:szCs w:val="32"/>
          <w:lang w:eastAsia="zh-CN"/>
        </w:rPr>
        <w:t>对采购食材进行把关，每日对运动队食用食品和饮品进行抽样检测，</w:t>
      </w:r>
      <w:r>
        <w:rPr>
          <w:rFonts w:hint="eastAsia"/>
          <w:b w:val="0"/>
          <w:bCs w:val="0"/>
          <w:sz w:val="32"/>
          <w:szCs w:val="32"/>
          <w:lang w:val="en-US" w:eastAsia="zh-CN"/>
        </w:rPr>
        <w:t>部分赛事可</w:t>
      </w:r>
      <w:r>
        <w:rPr>
          <w:rFonts w:hint="eastAsia"/>
          <w:b w:val="0"/>
          <w:bCs w:val="0"/>
          <w:sz w:val="32"/>
          <w:szCs w:val="32"/>
          <w:lang w:eastAsia="zh-CN"/>
        </w:rPr>
        <w:t>要求所有运动员不得外出就餐。</w:t>
      </w:r>
      <w:r>
        <w:rPr>
          <w:b w:val="0"/>
          <w:bCs w:val="0"/>
          <w:sz w:val="32"/>
          <w:szCs w:val="32"/>
          <w:lang w:eastAsia="zh-CN"/>
        </w:rPr>
        <w:t>要重点检查卫生情况、开展原料检测、加强现场督导，防范食品安全和食源性兴奋剂事件的发生。</w:t>
      </w:r>
    </w:p>
    <w:p w14:paraId="07F62D70">
      <w:pPr>
        <w:pStyle w:val="3"/>
        <w:spacing w:before="0" w:line="520" w:lineRule="exact"/>
        <w:ind w:firstLine="640" w:firstLineChars="200"/>
        <w:jc w:val="both"/>
        <w:rPr>
          <w:b w:val="0"/>
          <w:bCs w:val="0"/>
          <w:sz w:val="32"/>
          <w:szCs w:val="32"/>
          <w:lang w:eastAsia="zh-CN"/>
        </w:rPr>
      </w:pPr>
      <w:r>
        <w:rPr>
          <w:rFonts w:ascii="黑体" w:hAnsi="黑体" w:eastAsia="黑体" w:cs="黑体"/>
          <w:b w:val="0"/>
          <w:bCs w:val="0"/>
          <w:sz w:val="32"/>
          <w:szCs w:val="32"/>
          <w:lang w:eastAsia="zh-CN"/>
        </w:rPr>
        <w:t xml:space="preserve">第十三条 </w:t>
      </w:r>
      <w:r>
        <w:rPr>
          <w:rFonts w:cs="黑体" w:asciiTheme="minorEastAsia" w:hAnsiTheme="minorEastAsia" w:eastAsiaTheme="minorEastAsia"/>
          <w:b w:val="0"/>
          <w:bCs w:val="0"/>
          <w:sz w:val="28"/>
          <w:szCs w:val="28"/>
          <w:lang w:eastAsia="zh-CN"/>
        </w:rPr>
        <w:t xml:space="preserve"> </w:t>
      </w:r>
      <w:r>
        <w:rPr>
          <w:b w:val="0"/>
          <w:bCs w:val="0"/>
          <w:sz w:val="32"/>
          <w:szCs w:val="32"/>
          <w:lang w:eastAsia="zh-CN"/>
        </w:rPr>
        <w:t>交通安全服务</w:t>
      </w:r>
    </w:p>
    <w:p w14:paraId="72348442">
      <w:pPr>
        <w:pStyle w:val="3"/>
        <w:spacing w:before="0" w:line="520" w:lineRule="exact"/>
        <w:ind w:firstLine="640" w:firstLineChars="200"/>
        <w:jc w:val="both"/>
        <w:rPr>
          <w:b w:val="0"/>
          <w:bCs w:val="0"/>
          <w:sz w:val="32"/>
          <w:szCs w:val="32"/>
          <w:lang w:eastAsia="zh-CN"/>
        </w:rPr>
      </w:pPr>
      <w:r>
        <w:rPr>
          <w:b w:val="0"/>
          <w:bCs w:val="0"/>
          <w:sz w:val="32"/>
          <w:szCs w:val="32"/>
          <w:lang w:eastAsia="zh-CN"/>
        </w:rPr>
        <w:t>赛事</w:t>
      </w:r>
      <w:r>
        <w:rPr>
          <w:rFonts w:hint="eastAsia"/>
          <w:b w:val="0"/>
          <w:bCs w:val="0"/>
          <w:sz w:val="32"/>
          <w:szCs w:val="32"/>
          <w:lang w:eastAsia="zh-CN"/>
        </w:rPr>
        <w:t>举办</w:t>
      </w:r>
      <w:r>
        <w:rPr>
          <w:b w:val="0"/>
          <w:bCs w:val="0"/>
          <w:sz w:val="32"/>
          <w:szCs w:val="32"/>
          <w:lang w:eastAsia="zh-CN"/>
        </w:rPr>
        <w:t>方要做好赛</w:t>
      </w:r>
      <w:r>
        <w:rPr>
          <w:rFonts w:hint="eastAsia"/>
          <w:b w:val="0"/>
          <w:bCs w:val="0"/>
          <w:sz w:val="32"/>
          <w:szCs w:val="32"/>
          <w:lang w:val="en-US" w:eastAsia="zh-CN"/>
        </w:rPr>
        <w:t>事</w:t>
      </w:r>
      <w:r>
        <w:rPr>
          <w:b w:val="0"/>
          <w:bCs w:val="0"/>
          <w:sz w:val="32"/>
          <w:szCs w:val="32"/>
          <w:lang w:eastAsia="zh-CN"/>
        </w:rPr>
        <w:t>期间交通安全保障及服务工作，选择有资质的交通运输单位，</w:t>
      </w:r>
      <w:r>
        <w:rPr>
          <w:rFonts w:hint="eastAsia"/>
          <w:b w:val="0"/>
          <w:bCs w:val="0"/>
          <w:sz w:val="32"/>
          <w:szCs w:val="32"/>
          <w:lang w:eastAsia="zh-CN"/>
        </w:rPr>
        <w:t>确保</w:t>
      </w:r>
      <w:r>
        <w:rPr>
          <w:b w:val="0"/>
          <w:bCs w:val="0"/>
          <w:sz w:val="32"/>
          <w:szCs w:val="32"/>
          <w:lang w:eastAsia="zh-CN"/>
        </w:rPr>
        <w:t>车辆安全</w:t>
      </w:r>
      <w:r>
        <w:rPr>
          <w:rFonts w:hint="eastAsia"/>
          <w:b w:val="0"/>
          <w:bCs w:val="0"/>
          <w:sz w:val="32"/>
          <w:szCs w:val="32"/>
          <w:lang w:eastAsia="zh-CN"/>
        </w:rPr>
        <w:t>，车辆司机应经过专业培训，</w:t>
      </w:r>
      <w:r>
        <w:rPr>
          <w:b w:val="0"/>
          <w:bCs w:val="0"/>
          <w:sz w:val="32"/>
          <w:szCs w:val="32"/>
          <w:lang w:eastAsia="zh-CN"/>
        </w:rPr>
        <w:t>确保驾驶员熟悉比赛</w:t>
      </w:r>
      <w:r>
        <w:rPr>
          <w:rFonts w:hint="eastAsia"/>
          <w:b w:val="0"/>
          <w:bCs w:val="0"/>
          <w:sz w:val="32"/>
          <w:szCs w:val="32"/>
          <w:lang w:eastAsia="zh-CN"/>
        </w:rPr>
        <w:t>场地路</w:t>
      </w:r>
      <w:r>
        <w:rPr>
          <w:b w:val="0"/>
          <w:bCs w:val="0"/>
          <w:sz w:val="32"/>
          <w:szCs w:val="32"/>
          <w:lang w:eastAsia="zh-CN"/>
        </w:rPr>
        <w:t>线</w:t>
      </w:r>
      <w:r>
        <w:rPr>
          <w:rFonts w:hint="eastAsia"/>
          <w:b w:val="0"/>
          <w:bCs w:val="0"/>
          <w:sz w:val="32"/>
          <w:szCs w:val="32"/>
          <w:lang w:eastAsia="zh-CN"/>
        </w:rPr>
        <w:t>等情况</w:t>
      </w:r>
      <w:r>
        <w:rPr>
          <w:b w:val="0"/>
          <w:bCs w:val="0"/>
          <w:sz w:val="32"/>
          <w:szCs w:val="32"/>
          <w:lang w:eastAsia="zh-CN"/>
        </w:rPr>
        <w:t>，遵守交通法规，坚决杜绝疲劳驾驶等现象发生。</w:t>
      </w:r>
      <w:r>
        <w:rPr>
          <w:rFonts w:hint="eastAsia"/>
          <w:b w:val="0"/>
          <w:bCs w:val="0"/>
          <w:sz w:val="32"/>
          <w:szCs w:val="32"/>
          <w:lang w:eastAsia="zh-CN"/>
        </w:rPr>
        <w:t>比赛场馆和驻地宾馆距离不能超过半小时车程。参赛队及技术官员按大会安排，乘坐规定车辆前往比赛场馆及驻地酒店。必要时，有警车开道。</w:t>
      </w:r>
    </w:p>
    <w:p w14:paraId="6A5D43C3">
      <w:pPr>
        <w:pStyle w:val="3"/>
        <w:spacing w:before="0" w:line="520" w:lineRule="exact"/>
        <w:ind w:firstLine="640" w:firstLineChars="200"/>
        <w:jc w:val="both"/>
        <w:rPr>
          <w:rFonts w:asciiTheme="minorEastAsia" w:hAnsiTheme="minorEastAsia" w:eastAsiaTheme="minorEastAsia"/>
          <w:b w:val="0"/>
          <w:bCs w:val="0"/>
          <w:sz w:val="28"/>
          <w:szCs w:val="28"/>
          <w:lang w:eastAsia="zh-CN"/>
        </w:rPr>
      </w:pPr>
      <w:r>
        <w:rPr>
          <w:rFonts w:ascii="黑体" w:hAnsi="黑体" w:eastAsia="黑体" w:cs="黑体"/>
          <w:b w:val="0"/>
          <w:bCs w:val="0"/>
          <w:sz w:val="32"/>
          <w:szCs w:val="32"/>
          <w:lang w:eastAsia="zh-CN"/>
        </w:rPr>
        <w:t xml:space="preserve">第十四条 </w:t>
      </w:r>
      <w:r>
        <w:rPr>
          <w:rFonts w:cs="黑体" w:asciiTheme="minorEastAsia" w:hAnsiTheme="minorEastAsia" w:eastAsiaTheme="minorEastAsia"/>
          <w:b w:val="0"/>
          <w:bCs w:val="0"/>
          <w:sz w:val="28"/>
          <w:szCs w:val="28"/>
          <w:lang w:eastAsia="zh-CN"/>
        </w:rPr>
        <w:t xml:space="preserve"> </w:t>
      </w:r>
      <w:r>
        <w:rPr>
          <w:b w:val="0"/>
          <w:bCs w:val="0"/>
          <w:sz w:val="32"/>
          <w:szCs w:val="32"/>
          <w:lang w:eastAsia="zh-CN"/>
        </w:rPr>
        <w:t>观众及看台管理</w:t>
      </w:r>
    </w:p>
    <w:p w14:paraId="76FC75FF">
      <w:pPr>
        <w:pStyle w:val="3"/>
        <w:spacing w:before="0" w:line="520" w:lineRule="exact"/>
        <w:ind w:firstLine="640" w:firstLineChars="200"/>
        <w:jc w:val="both"/>
        <w:rPr>
          <w:b w:val="0"/>
          <w:bCs w:val="0"/>
          <w:sz w:val="32"/>
          <w:szCs w:val="32"/>
          <w:lang w:eastAsia="zh-CN"/>
        </w:rPr>
      </w:pPr>
      <w:r>
        <w:rPr>
          <w:b w:val="0"/>
          <w:bCs w:val="0"/>
          <w:sz w:val="32"/>
          <w:szCs w:val="32"/>
          <w:lang w:eastAsia="zh-CN"/>
        </w:rPr>
        <w:t>赛事</w:t>
      </w:r>
      <w:r>
        <w:rPr>
          <w:rFonts w:hint="eastAsia"/>
          <w:b w:val="0"/>
          <w:bCs w:val="0"/>
          <w:sz w:val="32"/>
          <w:szCs w:val="32"/>
          <w:lang w:eastAsia="zh-CN"/>
        </w:rPr>
        <w:t>举办</w:t>
      </w:r>
      <w:r>
        <w:rPr>
          <w:b w:val="0"/>
          <w:bCs w:val="0"/>
          <w:sz w:val="32"/>
          <w:szCs w:val="32"/>
          <w:lang w:eastAsia="zh-CN"/>
        </w:rPr>
        <w:t>应会同当地公安机关根据本地区安全情况，核定每场比赛的安全容量及可售 (发)票的数量，制定赛场禁限带物品清单并向社会公告。</w:t>
      </w:r>
      <w:r>
        <w:rPr>
          <w:rFonts w:hint="eastAsia"/>
          <w:b w:val="0"/>
          <w:bCs w:val="0"/>
          <w:sz w:val="32"/>
          <w:szCs w:val="32"/>
          <w:lang w:eastAsia="zh-CN"/>
        </w:rPr>
        <w:t>门票或电子票因附观众安全须知。</w:t>
      </w:r>
      <w:r>
        <w:rPr>
          <w:b w:val="0"/>
          <w:bCs w:val="0"/>
          <w:sz w:val="32"/>
          <w:szCs w:val="32"/>
          <w:lang w:eastAsia="zh-CN"/>
        </w:rPr>
        <w:t>加强观众入场安检和票证查验工作，严禁无票或持假票、废票等入场。看台、内场及相关区域必须采取有效的安保和隔离措施，设置必要的隔离护网或者硬质隔离设施，安装无死角的视频监控系统。</w:t>
      </w:r>
      <w:r>
        <w:rPr>
          <w:rFonts w:hint="eastAsia"/>
          <w:b w:val="0"/>
          <w:bCs w:val="0"/>
          <w:sz w:val="32"/>
          <w:szCs w:val="32"/>
          <w:lang w:eastAsia="zh-CN"/>
        </w:rPr>
        <w:t>并</w:t>
      </w:r>
      <w:r>
        <w:rPr>
          <w:b w:val="0"/>
          <w:bCs w:val="0"/>
          <w:sz w:val="32"/>
          <w:szCs w:val="32"/>
          <w:lang w:eastAsia="zh-CN"/>
        </w:rPr>
        <w:t>通过标语、大屏幕和现场广播等形式，宣传赛场安全要求，进一步加强对球迷的文明观赛的引导工作。</w:t>
      </w:r>
    </w:p>
    <w:p w14:paraId="0CA5BB25">
      <w:pPr>
        <w:pStyle w:val="3"/>
        <w:spacing w:before="0" w:line="520" w:lineRule="exact"/>
        <w:ind w:firstLine="640" w:firstLineChars="200"/>
        <w:jc w:val="both"/>
        <w:rPr>
          <w:b w:val="0"/>
          <w:bCs w:val="0"/>
          <w:sz w:val="32"/>
          <w:szCs w:val="32"/>
          <w:lang w:eastAsia="zh-CN"/>
        </w:rPr>
      </w:pPr>
      <w:r>
        <w:rPr>
          <w:rFonts w:ascii="黑体" w:hAnsi="黑体" w:eastAsia="黑体" w:cs="黑体"/>
          <w:b w:val="0"/>
          <w:bCs w:val="0"/>
          <w:sz w:val="32"/>
          <w:szCs w:val="32"/>
          <w:lang w:eastAsia="zh-CN"/>
        </w:rPr>
        <w:t>第十五条</w:t>
      </w:r>
      <w:r>
        <w:rPr>
          <w:rFonts w:cs="黑体" w:asciiTheme="minorEastAsia" w:hAnsiTheme="minorEastAsia" w:eastAsiaTheme="minorEastAsia"/>
          <w:b w:val="0"/>
          <w:bCs w:val="0"/>
          <w:sz w:val="28"/>
          <w:szCs w:val="28"/>
          <w:lang w:eastAsia="zh-CN"/>
        </w:rPr>
        <w:t xml:space="preserve">  </w:t>
      </w:r>
      <w:r>
        <w:rPr>
          <w:b w:val="0"/>
          <w:bCs w:val="0"/>
          <w:sz w:val="32"/>
          <w:szCs w:val="32"/>
          <w:lang w:eastAsia="zh-CN"/>
        </w:rPr>
        <w:t>商务活动管理</w:t>
      </w:r>
    </w:p>
    <w:p w14:paraId="63D3B8CF">
      <w:pPr>
        <w:pStyle w:val="3"/>
        <w:spacing w:before="0" w:line="520" w:lineRule="exact"/>
        <w:ind w:firstLine="640" w:firstLineChars="200"/>
        <w:jc w:val="both"/>
        <w:rPr>
          <w:b w:val="0"/>
          <w:bCs w:val="0"/>
          <w:sz w:val="32"/>
          <w:szCs w:val="32"/>
          <w:lang w:eastAsia="zh-CN"/>
        </w:rPr>
      </w:pPr>
      <w:r>
        <w:rPr>
          <w:b w:val="0"/>
          <w:bCs w:val="0"/>
          <w:sz w:val="32"/>
          <w:szCs w:val="32"/>
          <w:lang w:eastAsia="zh-CN"/>
        </w:rPr>
        <w:t>赛事</w:t>
      </w:r>
      <w:r>
        <w:rPr>
          <w:rFonts w:hint="eastAsia"/>
          <w:b w:val="0"/>
          <w:bCs w:val="0"/>
          <w:sz w:val="32"/>
          <w:szCs w:val="32"/>
          <w:lang w:eastAsia="zh-CN"/>
        </w:rPr>
        <w:t>举办</w:t>
      </w:r>
      <w:r>
        <w:rPr>
          <w:b w:val="0"/>
          <w:bCs w:val="0"/>
          <w:sz w:val="32"/>
          <w:szCs w:val="32"/>
          <w:lang w:eastAsia="zh-CN"/>
        </w:rPr>
        <w:t>方及场馆管理方应确保赛事赞助商权益得到正确呈现和合理保护，赞助商商业活动安全有序。定期巡查各赛场装饰和广告，发现存在安全隐患的布置和搭建时应及时修补、加固和更换，避免发生倒塌、坠落等安全事故。应按规定及时向属地公安机关申报赞助商外场商业活动。赞助商的外场商业展示或售卖活动应落实主体责任，要有详细的组织方案和安全预案，防止现场发生观众哄抢、踩踏等事故。</w:t>
      </w:r>
    </w:p>
    <w:p w14:paraId="38ED168D">
      <w:pPr>
        <w:pStyle w:val="3"/>
        <w:spacing w:before="0" w:line="520" w:lineRule="exact"/>
        <w:ind w:firstLine="640" w:firstLineChars="200"/>
        <w:jc w:val="both"/>
        <w:rPr>
          <w:rFonts w:asciiTheme="minorEastAsia" w:hAnsiTheme="minorEastAsia" w:eastAsiaTheme="minorEastAsia"/>
          <w:b w:val="0"/>
          <w:bCs w:val="0"/>
          <w:sz w:val="28"/>
          <w:szCs w:val="28"/>
          <w:lang w:eastAsia="zh-CN"/>
        </w:rPr>
      </w:pPr>
      <w:r>
        <w:rPr>
          <w:rFonts w:ascii="黑体" w:hAnsi="黑体" w:eastAsia="黑体" w:cs="黑体"/>
          <w:b w:val="0"/>
          <w:bCs w:val="0"/>
          <w:sz w:val="32"/>
          <w:szCs w:val="32"/>
          <w:lang w:eastAsia="zh-CN"/>
        </w:rPr>
        <w:t>第十六条</w:t>
      </w:r>
      <w:r>
        <w:rPr>
          <w:rFonts w:cs="黑体" w:asciiTheme="minorEastAsia" w:hAnsiTheme="minorEastAsia" w:eastAsiaTheme="minorEastAsia"/>
          <w:b w:val="0"/>
          <w:bCs w:val="0"/>
          <w:sz w:val="28"/>
          <w:szCs w:val="28"/>
          <w:lang w:eastAsia="zh-CN"/>
        </w:rPr>
        <w:t xml:space="preserve">  </w:t>
      </w:r>
      <w:r>
        <w:rPr>
          <w:b w:val="0"/>
          <w:bCs w:val="0"/>
          <w:sz w:val="32"/>
          <w:szCs w:val="32"/>
          <w:lang w:eastAsia="zh-CN"/>
        </w:rPr>
        <w:t>媒体管理</w:t>
      </w:r>
    </w:p>
    <w:p w14:paraId="38044CC3">
      <w:pPr>
        <w:pStyle w:val="3"/>
        <w:spacing w:before="0" w:line="520" w:lineRule="exact"/>
        <w:ind w:firstLine="640" w:firstLineChars="200"/>
        <w:jc w:val="both"/>
        <w:rPr>
          <w:b w:val="0"/>
          <w:bCs w:val="0"/>
          <w:sz w:val="32"/>
          <w:szCs w:val="32"/>
          <w:lang w:eastAsia="zh-CN"/>
        </w:rPr>
      </w:pPr>
      <w:r>
        <w:rPr>
          <w:b w:val="0"/>
          <w:bCs w:val="0"/>
          <w:sz w:val="32"/>
          <w:szCs w:val="32"/>
          <w:lang w:eastAsia="zh-CN"/>
        </w:rPr>
        <w:t>赛事</w:t>
      </w:r>
      <w:r>
        <w:rPr>
          <w:rFonts w:hint="eastAsia"/>
          <w:b w:val="0"/>
          <w:bCs w:val="0"/>
          <w:sz w:val="32"/>
          <w:szCs w:val="32"/>
          <w:lang w:eastAsia="zh-CN"/>
        </w:rPr>
        <w:t>举办</w:t>
      </w:r>
      <w:r>
        <w:rPr>
          <w:b w:val="0"/>
          <w:bCs w:val="0"/>
          <w:sz w:val="32"/>
          <w:szCs w:val="32"/>
          <w:lang w:eastAsia="zh-CN"/>
        </w:rPr>
        <w:t>方应协调相关部门做好宣传引导工作，</w:t>
      </w:r>
      <w:r>
        <w:rPr>
          <w:b w:val="0"/>
          <w:bCs w:val="0"/>
          <w:spacing w:val="3"/>
          <w:sz w:val="32"/>
          <w:szCs w:val="32"/>
          <w:lang w:eastAsia="zh-CN"/>
        </w:rPr>
        <w:t>为赛事营造良好的宣传氛围</w:t>
      </w:r>
      <w:r>
        <w:rPr>
          <w:rFonts w:hint="eastAsia"/>
          <w:b w:val="0"/>
          <w:bCs w:val="0"/>
          <w:spacing w:val="3"/>
          <w:sz w:val="32"/>
          <w:szCs w:val="32"/>
          <w:lang w:eastAsia="zh-CN"/>
        </w:rPr>
        <w:t>，</w:t>
      </w:r>
      <w:r>
        <w:rPr>
          <w:b w:val="0"/>
          <w:bCs w:val="0"/>
          <w:spacing w:val="3"/>
          <w:sz w:val="32"/>
          <w:szCs w:val="32"/>
          <w:lang w:eastAsia="zh-CN"/>
        </w:rPr>
        <w:t>为媒体相关人员</w:t>
      </w:r>
      <w:r>
        <w:rPr>
          <w:b w:val="0"/>
          <w:bCs w:val="0"/>
          <w:spacing w:val="4"/>
          <w:sz w:val="32"/>
          <w:szCs w:val="32"/>
          <w:lang w:eastAsia="zh-CN"/>
        </w:rPr>
        <w:t>提供良好的工作环境。要规范各类媒体活动流程，指导转播制作团队</w:t>
      </w:r>
      <w:r>
        <w:rPr>
          <w:b w:val="0"/>
          <w:bCs w:val="0"/>
          <w:spacing w:val="-3"/>
          <w:sz w:val="32"/>
          <w:szCs w:val="32"/>
          <w:lang w:eastAsia="zh-CN"/>
        </w:rPr>
        <w:t>现场线缆的布置工作，确保赛场通讯及网络通畅，避免各类安全事故。</w:t>
      </w:r>
      <w:r>
        <w:rPr>
          <w:b w:val="0"/>
          <w:bCs w:val="0"/>
          <w:spacing w:val="4"/>
          <w:sz w:val="32"/>
          <w:szCs w:val="32"/>
          <w:lang w:eastAsia="zh-CN"/>
        </w:rPr>
        <w:t>要严格媒体工作纪律，合理安排采访，</w:t>
      </w:r>
      <w:r>
        <w:rPr>
          <w:rFonts w:hint="eastAsia"/>
          <w:b w:val="0"/>
          <w:bCs w:val="0"/>
          <w:sz w:val="32"/>
          <w:szCs w:val="32"/>
          <w:lang w:eastAsia="zh-CN"/>
        </w:rPr>
        <w:t>根据篮球比赛惯例，原则上不接受电话采访，一般只在组委会统一安排的混合采访区和新闻发布现场接受采访。如果被问及涉及政治等敏感问题，要按照国家体育总局和主办单位统一要求口径回答，并及时将相关情况上报相关部门。</w:t>
      </w:r>
    </w:p>
    <w:p w14:paraId="490357C5">
      <w:pPr>
        <w:pStyle w:val="3"/>
        <w:spacing w:before="0" w:line="520" w:lineRule="exact"/>
        <w:ind w:firstLine="640" w:firstLineChars="200"/>
        <w:jc w:val="both"/>
        <w:rPr>
          <w:b w:val="0"/>
          <w:bCs w:val="0"/>
          <w:sz w:val="32"/>
          <w:szCs w:val="32"/>
          <w:lang w:eastAsia="zh-CN"/>
        </w:rPr>
      </w:pPr>
      <w:r>
        <w:rPr>
          <w:b w:val="0"/>
          <w:bCs w:val="0"/>
          <w:sz w:val="32"/>
          <w:szCs w:val="32"/>
          <w:lang w:eastAsia="zh-CN"/>
        </w:rPr>
        <w:t>赛</w:t>
      </w:r>
      <w:r>
        <w:rPr>
          <w:rFonts w:hint="eastAsia"/>
          <w:b w:val="0"/>
          <w:bCs w:val="0"/>
          <w:sz w:val="32"/>
          <w:szCs w:val="32"/>
          <w:lang w:val="en-US" w:eastAsia="zh-CN"/>
        </w:rPr>
        <w:t>事</w:t>
      </w:r>
      <w:r>
        <w:rPr>
          <w:b w:val="0"/>
          <w:bCs w:val="0"/>
          <w:sz w:val="32"/>
          <w:szCs w:val="32"/>
          <w:lang w:eastAsia="zh-CN"/>
        </w:rPr>
        <w:t>期间</w:t>
      </w:r>
      <w:r>
        <w:rPr>
          <w:rFonts w:hint="eastAsia"/>
          <w:b w:val="0"/>
          <w:bCs w:val="0"/>
          <w:sz w:val="32"/>
          <w:szCs w:val="32"/>
          <w:lang w:eastAsia="zh-CN"/>
        </w:rPr>
        <w:t>应</w:t>
      </w:r>
      <w:r>
        <w:rPr>
          <w:b w:val="0"/>
          <w:bCs w:val="0"/>
          <w:sz w:val="32"/>
          <w:szCs w:val="32"/>
          <w:lang w:eastAsia="zh-CN"/>
        </w:rPr>
        <w:t>开展安全宣传教育</w:t>
      </w:r>
      <w:r>
        <w:rPr>
          <w:rFonts w:hint="eastAsia"/>
          <w:b w:val="0"/>
          <w:bCs w:val="0"/>
          <w:sz w:val="32"/>
          <w:szCs w:val="32"/>
          <w:lang w:eastAsia="zh-CN"/>
        </w:rPr>
        <w:t>。除运动员外，队伍官员、教练员、比赛监督和技术代表等人员要随时了解媒体各种评论信息，如发现不实报道和不良舆情，要及时汇报。同时了解运动员的最新状况，做好心理预防，避免影响比赛。赛事举办方应</w:t>
      </w:r>
      <w:r>
        <w:rPr>
          <w:b w:val="0"/>
          <w:bCs w:val="0"/>
          <w:sz w:val="32"/>
          <w:szCs w:val="32"/>
          <w:lang w:eastAsia="zh-CN"/>
        </w:rPr>
        <w:t>建立赛事舆情应急机制</w:t>
      </w:r>
      <w:r>
        <w:rPr>
          <w:rFonts w:hint="eastAsia"/>
          <w:b w:val="0"/>
          <w:bCs w:val="0"/>
          <w:sz w:val="32"/>
          <w:szCs w:val="32"/>
          <w:lang w:eastAsia="zh-CN"/>
        </w:rPr>
        <w:t>，对突发事件相关预期和处理能够及时、迅速、高效，</w:t>
      </w:r>
      <w:r>
        <w:rPr>
          <w:b w:val="0"/>
          <w:bCs w:val="0"/>
          <w:sz w:val="32"/>
          <w:szCs w:val="32"/>
          <w:lang w:eastAsia="zh-CN"/>
        </w:rPr>
        <w:t>避免产生炒作和负面</w:t>
      </w:r>
      <w:r>
        <w:rPr>
          <w:rFonts w:hint="eastAsia"/>
          <w:b w:val="0"/>
          <w:bCs w:val="0"/>
          <w:sz w:val="32"/>
          <w:szCs w:val="32"/>
          <w:lang w:eastAsia="zh-CN"/>
        </w:rPr>
        <w:t>延续</w:t>
      </w:r>
      <w:r>
        <w:rPr>
          <w:b w:val="0"/>
          <w:bCs w:val="0"/>
          <w:sz w:val="32"/>
          <w:szCs w:val="32"/>
          <w:lang w:eastAsia="zh-CN"/>
        </w:rPr>
        <w:t>影响。</w:t>
      </w:r>
    </w:p>
    <w:p w14:paraId="548C17A7">
      <w:pPr>
        <w:pStyle w:val="3"/>
        <w:spacing w:before="0" w:line="520" w:lineRule="exact"/>
        <w:ind w:firstLine="640" w:firstLineChars="200"/>
        <w:jc w:val="both"/>
        <w:rPr>
          <w:b w:val="0"/>
          <w:bCs w:val="0"/>
          <w:sz w:val="32"/>
          <w:szCs w:val="32"/>
          <w:lang w:eastAsia="zh-CN"/>
        </w:rPr>
      </w:pPr>
    </w:p>
    <w:p w14:paraId="17D2E98D">
      <w:pPr>
        <w:spacing w:before="0" w:line="240" w:lineRule="auto"/>
        <w:rPr>
          <w:rFonts w:asciiTheme="majorEastAsia" w:hAnsiTheme="majorEastAsia" w:eastAsiaTheme="majorEastAsia"/>
        </w:rPr>
      </w:pPr>
      <w:r>
        <w:rPr>
          <w:rFonts w:hint="eastAsia" w:asciiTheme="majorEastAsia" w:hAnsiTheme="majorEastAsia" w:eastAsiaTheme="majorEastAsia"/>
        </w:rPr>
        <w:t>第四章 安全参赛指引</w:t>
      </w:r>
    </w:p>
    <w:p w14:paraId="63CEF848">
      <w:pPr>
        <w:spacing w:before="0" w:line="520" w:lineRule="exact"/>
        <w:ind w:firstLine="562"/>
        <w:rPr>
          <w:rFonts w:asciiTheme="majorEastAsia" w:hAnsiTheme="majorEastAsia" w:eastAsiaTheme="majorEastAsia"/>
          <w:b w:val="0"/>
          <w:bCs w:val="0"/>
          <w:sz w:val="36"/>
          <w:szCs w:val="36"/>
        </w:rPr>
      </w:pPr>
    </w:p>
    <w:p w14:paraId="0121A35B">
      <w:pPr>
        <w:pStyle w:val="3"/>
        <w:spacing w:before="0" w:line="520" w:lineRule="exact"/>
        <w:ind w:firstLine="640" w:firstLineChars="200"/>
        <w:jc w:val="both"/>
        <w:rPr>
          <w:b w:val="0"/>
          <w:bCs w:val="0"/>
          <w:sz w:val="32"/>
          <w:szCs w:val="32"/>
          <w:lang w:eastAsia="zh-CN"/>
        </w:rPr>
      </w:pPr>
      <w:r>
        <w:rPr>
          <w:rFonts w:ascii="黑体" w:hAnsi="黑体" w:eastAsia="黑体" w:cs="黑体"/>
          <w:b w:val="0"/>
          <w:bCs w:val="0"/>
          <w:sz w:val="32"/>
          <w:szCs w:val="32"/>
          <w:lang w:eastAsia="zh-CN"/>
        </w:rPr>
        <w:t>第十七条</w:t>
      </w:r>
      <w:r>
        <w:rPr>
          <w:rFonts w:cs="黑体" w:asciiTheme="minorEastAsia" w:hAnsiTheme="minorEastAsia" w:eastAsiaTheme="minorEastAsia"/>
          <w:b w:val="0"/>
          <w:bCs w:val="0"/>
          <w:spacing w:val="25"/>
          <w:sz w:val="28"/>
          <w:szCs w:val="28"/>
          <w:lang w:eastAsia="zh-CN"/>
        </w:rPr>
        <w:t xml:space="preserve">  </w:t>
      </w:r>
      <w:r>
        <w:rPr>
          <w:b w:val="0"/>
          <w:bCs w:val="0"/>
          <w:sz w:val="32"/>
          <w:szCs w:val="32"/>
          <w:lang w:eastAsia="zh-CN"/>
        </w:rPr>
        <w:t>比赛地馆</w:t>
      </w:r>
      <w:r>
        <w:rPr>
          <w:rFonts w:hint="eastAsia"/>
          <w:b w:val="0"/>
          <w:bCs w:val="0"/>
          <w:sz w:val="32"/>
          <w:szCs w:val="32"/>
          <w:lang w:eastAsia="zh-CN"/>
        </w:rPr>
        <w:t>及</w:t>
      </w:r>
      <w:r>
        <w:rPr>
          <w:b w:val="0"/>
          <w:bCs w:val="0"/>
          <w:sz w:val="32"/>
          <w:szCs w:val="32"/>
          <w:lang w:eastAsia="zh-CN"/>
        </w:rPr>
        <w:t>考察</w:t>
      </w:r>
    </w:p>
    <w:p w14:paraId="58E9BFE9">
      <w:pPr>
        <w:pStyle w:val="3"/>
        <w:spacing w:before="0" w:line="520" w:lineRule="exact"/>
        <w:ind w:firstLine="652" w:firstLineChars="200"/>
        <w:jc w:val="both"/>
        <w:rPr>
          <w:b w:val="0"/>
          <w:bCs w:val="0"/>
          <w:sz w:val="32"/>
          <w:szCs w:val="32"/>
          <w:lang w:eastAsia="zh-CN"/>
        </w:rPr>
      </w:pPr>
      <w:r>
        <w:rPr>
          <w:b w:val="0"/>
          <w:bCs w:val="0"/>
          <w:spacing w:val="3"/>
          <w:sz w:val="32"/>
          <w:szCs w:val="32"/>
          <w:lang w:eastAsia="zh-CN"/>
        </w:rPr>
        <w:t>各参赛队伍确认参赛后，应按照赛事竞赛规程</w:t>
      </w:r>
      <w:r>
        <w:rPr>
          <w:rFonts w:hint="eastAsia"/>
          <w:b w:val="0"/>
          <w:bCs w:val="0"/>
          <w:spacing w:val="3"/>
          <w:sz w:val="32"/>
          <w:szCs w:val="32"/>
          <w:lang w:eastAsia="zh-CN"/>
        </w:rPr>
        <w:t>和竞赛日程，</w:t>
      </w:r>
      <w:r>
        <w:rPr>
          <w:b w:val="0"/>
          <w:bCs w:val="0"/>
          <w:spacing w:val="3"/>
          <w:sz w:val="32"/>
          <w:szCs w:val="32"/>
          <w:lang w:eastAsia="zh-CN"/>
        </w:rPr>
        <w:t>合理安排训练</w:t>
      </w:r>
      <w:r>
        <w:rPr>
          <w:rFonts w:hint="eastAsia"/>
          <w:b w:val="0"/>
          <w:bCs w:val="0"/>
          <w:spacing w:val="3"/>
          <w:sz w:val="32"/>
          <w:szCs w:val="32"/>
          <w:lang w:eastAsia="zh-CN"/>
        </w:rPr>
        <w:t>，</w:t>
      </w:r>
      <w:r>
        <w:rPr>
          <w:b w:val="0"/>
          <w:bCs w:val="0"/>
          <w:spacing w:val="3"/>
          <w:sz w:val="32"/>
          <w:szCs w:val="32"/>
          <w:lang w:eastAsia="zh-CN"/>
        </w:rPr>
        <w:t>提</w:t>
      </w:r>
      <w:r>
        <w:rPr>
          <w:b w:val="0"/>
          <w:bCs w:val="0"/>
          <w:sz w:val="32"/>
          <w:szCs w:val="32"/>
          <w:lang w:eastAsia="zh-CN"/>
        </w:rPr>
        <w:t>前规划行程</w:t>
      </w:r>
      <w:r>
        <w:rPr>
          <w:rFonts w:hint="eastAsia"/>
          <w:b w:val="0"/>
          <w:bCs w:val="0"/>
          <w:sz w:val="32"/>
          <w:szCs w:val="32"/>
          <w:lang w:eastAsia="zh-CN"/>
        </w:rPr>
        <w:t>并</w:t>
      </w:r>
      <w:r>
        <w:rPr>
          <w:b w:val="0"/>
          <w:bCs w:val="0"/>
          <w:sz w:val="32"/>
          <w:szCs w:val="32"/>
          <w:lang w:eastAsia="zh-CN"/>
        </w:rPr>
        <w:t>积极做好参赛准备。赛前应派专人</w:t>
      </w:r>
      <w:r>
        <w:rPr>
          <w:b w:val="0"/>
          <w:bCs w:val="0"/>
          <w:spacing w:val="3"/>
          <w:sz w:val="32"/>
          <w:szCs w:val="32"/>
          <w:lang w:eastAsia="zh-CN"/>
        </w:rPr>
        <w:t>考察</w:t>
      </w:r>
      <w:r>
        <w:rPr>
          <w:rFonts w:hint="eastAsia"/>
          <w:b w:val="0"/>
          <w:bCs w:val="0"/>
          <w:spacing w:val="3"/>
          <w:sz w:val="32"/>
          <w:szCs w:val="32"/>
          <w:lang w:eastAsia="zh-CN"/>
        </w:rPr>
        <w:t>和了解</w:t>
      </w:r>
      <w:r>
        <w:rPr>
          <w:b w:val="0"/>
          <w:bCs w:val="0"/>
          <w:spacing w:val="3"/>
          <w:sz w:val="32"/>
          <w:szCs w:val="32"/>
          <w:lang w:eastAsia="zh-CN"/>
        </w:rPr>
        <w:t>比赛地及比赛场</w:t>
      </w:r>
      <w:r>
        <w:rPr>
          <w:b w:val="0"/>
          <w:bCs w:val="0"/>
          <w:sz w:val="32"/>
          <w:szCs w:val="32"/>
          <w:lang w:eastAsia="zh-CN"/>
        </w:rPr>
        <w:t>馆，了解比赛地交通路况、食宿条件和当地风俗</w:t>
      </w:r>
      <w:r>
        <w:rPr>
          <w:b w:val="0"/>
          <w:bCs w:val="0"/>
          <w:spacing w:val="3"/>
          <w:sz w:val="32"/>
          <w:szCs w:val="32"/>
          <w:lang w:eastAsia="zh-CN"/>
        </w:rPr>
        <w:t>习惯等</w:t>
      </w:r>
      <w:r>
        <w:rPr>
          <w:rFonts w:hint="eastAsia"/>
          <w:b w:val="0"/>
          <w:bCs w:val="0"/>
          <w:spacing w:val="3"/>
          <w:sz w:val="32"/>
          <w:szCs w:val="32"/>
          <w:lang w:eastAsia="zh-CN"/>
        </w:rPr>
        <w:t>，</w:t>
      </w:r>
      <w:r>
        <w:rPr>
          <w:b w:val="0"/>
          <w:bCs w:val="0"/>
          <w:sz w:val="32"/>
          <w:szCs w:val="32"/>
          <w:lang w:eastAsia="zh-CN"/>
        </w:rPr>
        <w:t>充分了解</w:t>
      </w:r>
      <w:r>
        <w:rPr>
          <w:rFonts w:hint="eastAsia"/>
          <w:b w:val="0"/>
          <w:bCs w:val="0"/>
          <w:sz w:val="32"/>
          <w:szCs w:val="32"/>
          <w:lang w:eastAsia="zh-CN"/>
        </w:rPr>
        <w:t>比赛</w:t>
      </w:r>
      <w:r>
        <w:rPr>
          <w:b w:val="0"/>
          <w:bCs w:val="0"/>
          <w:sz w:val="32"/>
          <w:szCs w:val="32"/>
          <w:lang w:eastAsia="zh-CN"/>
        </w:rPr>
        <w:t>场地状况，如</w:t>
      </w:r>
      <w:r>
        <w:rPr>
          <w:rFonts w:hint="eastAsia"/>
          <w:b w:val="0"/>
          <w:bCs w:val="0"/>
          <w:sz w:val="32"/>
          <w:szCs w:val="32"/>
          <w:lang w:eastAsia="zh-CN"/>
        </w:rPr>
        <w:t>交通流线</w:t>
      </w:r>
      <w:r>
        <w:rPr>
          <w:b w:val="0"/>
          <w:bCs w:val="0"/>
          <w:sz w:val="32"/>
          <w:szCs w:val="32"/>
          <w:lang w:eastAsia="zh-CN"/>
        </w:rPr>
        <w:t>、保障设施</w:t>
      </w:r>
      <w:r>
        <w:rPr>
          <w:rFonts w:hint="eastAsia"/>
          <w:b w:val="0"/>
          <w:bCs w:val="0"/>
          <w:sz w:val="32"/>
          <w:szCs w:val="32"/>
          <w:lang w:eastAsia="zh-CN"/>
        </w:rPr>
        <w:t>、应急通道</w:t>
      </w:r>
      <w:r>
        <w:rPr>
          <w:b w:val="0"/>
          <w:bCs w:val="0"/>
          <w:sz w:val="32"/>
          <w:szCs w:val="32"/>
          <w:lang w:eastAsia="zh-CN"/>
        </w:rPr>
        <w:t>等，以</w:t>
      </w:r>
      <w:r>
        <w:rPr>
          <w:b w:val="0"/>
          <w:bCs w:val="0"/>
          <w:spacing w:val="1"/>
          <w:sz w:val="32"/>
          <w:szCs w:val="32"/>
          <w:lang w:eastAsia="zh-CN"/>
        </w:rPr>
        <w:t>便做出相应的安全防护措施。</w:t>
      </w:r>
    </w:p>
    <w:p w14:paraId="209BCA77">
      <w:pPr>
        <w:pStyle w:val="3"/>
        <w:spacing w:before="0" w:line="520" w:lineRule="exact"/>
        <w:ind w:firstLine="640" w:firstLineChars="200"/>
        <w:jc w:val="both"/>
        <w:rPr>
          <w:rFonts w:asciiTheme="minorEastAsia" w:hAnsiTheme="minorEastAsia" w:eastAsiaTheme="minorEastAsia"/>
          <w:b w:val="0"/>
          <w:bCs w:val="0"/>
          <w:sz w:val="28"/>
          <w:szCs w:val="28"/>
          <w:lang w:eastAsia="zh-CN"/>
        </w:rPr>
      </w:pPr>
      <w:r>
        <w:rPr>
          <w:rFonts w:ascii="黑体" w:hAnsi="黑体" w:eastAsia="黑体" w:cs="黑体"/>
          <w:b w:val="0"/>
          <w:bCs w:val="0"/>
          <w:sz w:val="32"/>
          <w:szCs w:val="32"/>
          <w:lang w:eastAsia="zh-CN"/>
        </w:rPr>
        <w:t>第十八条</w:t>
      </w:r>
      <w:r>
        <w:rPr>
          <w:rFonts w:cs="黑体" w:asciiTheme="minorEastAsia" w:hAnsiTheme="minorEastAsia" w:eastAsiaTheme="minorEastAsia"/>
          <w:b w:val="0"/>
          <w:bCs w:val="0"/>
          <w:sz w:val="28"/>
          <w:szCs w:val="28"/>
          <w:lang w:eastAsia="zh-CN"/>
        </w:rPr>
        <w:t xml:space="preserve">  </w:t>
      </w:r>
      <w:r>
        <w:rPr>
          <w:b w:val="0"/>
          <w:bCs w:val="0"/>
          <w:sz w:val="32"/>
          <w:szCs w:val="32"/>
          <w:lang w:eastAsia="zh-CN"/>
        </w:rPr>
        <w:t>安全教育培训</w:t>
      </w:r>
    </w:p>
    <w:p w14:paraId="4BEA33C8">
      <w:pPr>
        <w:pStyle w:val="3"/>
        <w:spacing w:before="0" w:line="520" w:lineRule="exact"/>
        <w:ind w:firstLine="640" w:firstLineChars="200"/>
        <w:jc w:val="both"/>
        <w:rPr>
          <w:b w:val="0"/>
          <w:bCs w:val="0"/>
          <w:sz w:val="32"/>
          <w:szCs w:val="32"/>
          <w:lang w:eastAsia="zh-CN"/>
        </w:rPr>
      </w:pPr>
      <w:r>
        <w:rPr>
          <w:rFonts w:hint="eastAsia"/>
          <w:b w:val="0"/>
          <w:bCs w:val="0"/>
          <w:sz w:val="32"/>
          <w:szCs w:val="32"/>
          <w:lang w:eastAsia="zh-CN"/>
        </w:rPr>
        <w:t>赛事举办方应拟定赛事手册和参赛指引，赛前举行组委会联席会和专题培训，</w:t>
      </w:r>
      <w:r>
        <w:rPr>
          <w:b w:val="0"/>
          <w:bCs w:val="0"/>
          <w:sz w:val="32"/>
          <w:szCs w:val="32"/>
          <w:lang w:eastAsia="zh-CN"/>
        </w:rPr>
        <w:t>对所有参赛人员进行必要的安全培训</w:t>
      </w:r>
      <w:r>
        <w:rPr>
          <w:rFonts w:hint="eastAsia"/>
          <w:b w:val="0"/>
          <w:bCs w:val="0"/>
          <w:sz w:val="32"/>
          <w:szCs w:val="32"/>
          <w:lang w:eastAsia="zh-CN"/>
        </w:rPr>
        <w:t>和赛风赛纪教育</w:t>
      </w:r>
      <w:r>
        <w:rPr>
          <w:b w:val="0"/>
          <w:bCs w:val="0"/>
          <w:sz w:val="32"/>
          <w:szCs w:val="32"/>
          <w:lang w:eastAsia="zh-CN"/>
        </w:rPr>
        <w:t>，</w:t>
      </w:r>
      <w:r>
        <w:rPr>
          <w:rFonts w:hint="eastAsia"/>
          <w:b w:val="0"/>
          <w:bCs w:val="0"/>
          <w:sz w:val="32"/>
          <w:szCs w:val="32"/>
          <w:lang w:eastAsia="zh-CN"/>
        </w:rPr>
        <w:t>树立风险防控意识，做好风险防控预案，</w:t>
      </w:r>
      <w:r>
        <w:rPr>
          <w:b w:val="0"/>
          <w:bCs w:val="0"/>
          <w:sz w:val="32"/>
          <w:szCs w:val="32"/>
          <w:lang w:eastAsia="zh-CN"/>
        </w:rPr>
        <w:t>强调比赛中的安全注意事项，提升教练员、运动员、</w:t>
      </w:r>
      <w:r>
        <w:rPr>
          <w:rFonts w:hint="eastAsia"/>
          <w:b w:val="0"/>
          <w:bCs w:val="0"/>
          <w:sz w:val="32"/>
          <w:szCs w:val="32"/>
          <w:lang w:eastAsia="zh-CN"/>
        </w:rPr>
        <w:t>裁判员和赛事相关</w:t>
      </w:r>
      <w:r>
        <w:rPr>
          <w:b w:val="0"/>
          <w:bCs w:val="0"/>
          <w:sz w:val="32"/>
          <w:szCs w:val="32"/>
          <w:lang w:eastAsia="zh-CN"/>
        </w:rPr>
        <w:t>人员的安全意识和应对突发事件的能力，确保参赛人员掌握基本的急救知识和技能。</w:t>
      </w:r>
      <w:r>
        <w:rPr>
          <w:rFonts w:hint="eastAsia"/>
          <w:b w:val="0"/>
          <w:bCs w:val="0"/>
          <w:sz w:val="32"/>
          <w:szCs w:val="32"/>
          <w:lang w:eastAsia="zh-CN"/>
        </w:rPr>
        <w:t>办好每一场赛事，建立健全风险管理工作机制，</w:t>
      </w:r>
      <w:r>
        <w:rPr>
          <w:b w:val="0"/>
          <w:bCs w:val="0"/>
          <w:sz w:val="32"/>
          <w:szCs w:val="32"/>
          <w:lang w:eastAsia="zh-CN"/>
        </w:rPr>
        <w:t>加强对各领队、教练员、运动员、裁判员的宣传教育，</w:t>
      </w:r>
      <w:r>
        <w:rPr>
          <w:rFonts w:hint="eastAsia"/>
          <w:b w:val="0"/>
          <w:bCs w:val="0"/>
          <w:sz w:val="32"/>
          <w:szCs w:val="32"/>
          <w:lang w:eastAsia="zh-CN"/>
        </w:rPr>
        <w:t>提前加强相互沟通，预防为主，</w:t>
      </w:r>
      <w:r>
        <w:rPr>
          <w:b w:val="0"/>
          <w:bCs w:val="0"/>
          <w:sz w:val="32"/>
          <w:szCs w:val="32"/>
          <w:lang w:eastAsia="zh-CN"/>
        </w:rPr>
        <w:t>对重点队伍、重点赛事、重点人员有预判、有提醒</w:t>
      </w:r>
      <w:r>
        <w:rPr>
          <w:rFonts w:hint="eastAsia"/>
          <w:b w:val="0"/>
          <w:bCs w:val="0"/>
          <w:sz w:val="32"/>
          <w:szCs w:val="32"/>
          <w:lang w:eastAsia="zh-CN"/>
        </w:rPr>
        <w:t>，力争将各种风险化解在萌芽状态，</w:t>
      </w:r>
      <w:r>
        <w:rPr>
          <w:b w:val="0"/>
          <w:bCs w:val="0"/>
          <w:sz w:val="32"/>
          <w:szCs w:val="32"/>
          <w:lang w:eastAsia="zh-CN"/>
        </w:rPr>
        <w:t>做到文明参赛、公平参赛</w:t>
      </w:r>
      <w:r>
        <w:rPr>
          <w:rFonts w:hint="eastAsia"/>
          <w:b w:val="0"/>
          <w:bCs w:val="0"/>
          <w:sz w:val="32"/>
          <w:szCs w:val="32"/>
          <w:lang w:eastAsia="zh-CN"/>
        </w:rPr>
        <w:t>、安全参赛。</w:t>
      </w:r>
    </w:p>
    <w:p w14:paraId="4D3CD76B">
      <w:pPr>
        <w:pStyle w:val="3"/>
        <w:spacing w:before="0" w:line="520" w:lineRule="exact"/>
        <w:ind w:firstLine="640" w:firstLineChars="200"/>
        <w:jc w:val="both"/>
        <w:rPr>
          <w:b w:val="0"/>
          <w:bCs w:val="0"/>
          <w:sz w:val="32"/>
          <w:szCs w:val="32"/>
          <w:lang w:eastAsia="zh-CN"/>
        </w:rPr>
      </w:pPr>
      <w:r>
        <w:rPr>
          <w:rFonts w:ascii="黑体" w:hAnsi="黑体" w:eastAsia="黑体" w:cs="黑体"/>
          <w:b w:val="0"/>
          <w:bCs w:val="0"/>
          <w:sz w:val="32"/>
          <w:szCs w:val="32"/>
          <w:lang w:eastAsia="zh-CN"/>
        </w:rPr>
        <w:t>第十九条</w:t>
      </w:r>
      <w:r>
        <w:rPr>
          <w:rFonts w:cs="黑体" w:asciiTheme="minorEastAsia" w:hAnsiTheme="minorEastAsia" w:eastAsiaTheme="minorEastAsia"/>
          <w:b w:val="0"/>
          <w:bCs w:val="0"/>
          <w:sz w:val="28"/>
          <w:szCs w:val="28"/>
          <w:lang w:eastAsia="zh-CN"/>
        </w:rPr>
        <w:t xml:space="preserve"> </w:t>
      </w:r>
      <w:r>
        <w:rPr>
          <w:rFonts w:cs="黑体"/>
          <w:b w:val="0"/>
          <w:bCs w:val="0"/>
          <w:sz w:val="32"/>
          <w:szCs w:val="32"/>
          <w:lang w:eastAsia="zh-CN"/>
        </w:rPr>
        <w:t xml:space="preserve"> </w:t>
      </w:r>
      <w:r>
        <w:rPr>
          <w:b w:val="0"/>
          <w:bCs w:val="0"/>
          <w:sz w:val="32"/>
          <w:szCs w:val="32"/>
          <w:lang w:eastAsia="zh-CN"/>
        </w:rPr>
        <w:t>赛风赛纪培训</w:t>
      </w:r>
    </w:p>
    <w:p w14:paraId="766E0105">
      <w:pPr>
        <w:pStyle w:val="3"/>
        <w:spacing w:before="0" w:line="520" w:lineRule="exact"/>
        <w:ind w:firstLine="640" w:firstLineChars="200"/>
        <w:jc w:val="both"/>
        <w:rPr>
          <w:b w:val="0"/>
          <w:bCs w:val="0"/>
          <w:sz w:val="32"/>
          <w:szCs w:val="32"/>
          <w:lang w:eastAsia="zh-CN"/>
        </w:rPr>
      </w:pPr>
      <w:r>
        <w:rPr>
          <w:rFonts w:hint="eastAsia"/>
          <w:b w:val="0"/>
          <w:bCs w:val="0"/>
          <w:sz w:val="32"/>
          <w:szCs w:val="32"/>
          <w:lang w:eastAsia="zh-CN"/>
        </w:rPr>
        <w:t>每次比赛赛前必须召开联席会和技术会。主办单位和</w:t>
      </w:r>
      <w:r>
        <w:rPr>
          <w:b w:val="0"/>
          <w:bCs w:val="0"/>
          <w:sz w:val="32"/>
          <w:szCs w:val="32"/>
          <w:lang w:eastAsia="zh-CN"/>
        </w:rPr>
        <w:t>各参赛队伍要加强赛风赛纪培训工作，确保参赛人员严格遵守相</w:t>
      </w:r>
      <w:r>
        <w:rPr>
          <w:b w:val="0"/>
          <w:bCs w:val="0"/>
          <w:spacing w:val="4"/>
          <w:sz w:val="32"/>
          <w:szCs w:val="32"/>
          <w:lang w:eastAsia="zh-CN"/>
        </w:rPr>
        <w:t>关要求，避免因违反</w:t>
      </w:r>
      <w:r>
        <w:rPr>
          <w:rFonts w:hint="eastAsia"/>
          <w:b w:val="0"/>
          <w:bCs w:val="0"/>
          <w:spacing w:val="4"/>
          <w:sz w:val="32"/>
          <w:szCs w:val="32"/>
          <w:lang w:eastAsia="zh-CN"/>
        </w:rPr>
        <w:t>竞赛</w:t>
      </w:r>
      <w:r>
        <w:rPr>
          <w:b w:val="0"/>
          <w:bCs w:val="0"/>
          <w:spacing w:val="4"/>
          <w:sz w:val="32"/>
          <w:szCs w:val="32"/>
          <w:lang w:eastAsia="zh-CN"/>
        </w:rPr>
        <w:t>规则而引发不必要的冲突或伤害</w:t>
      </w:r>
      <w:r>
        <w:rPr>
          <w:b w:val="0"/>
          <w:bCs w:val="0"/>
          <w:sz w:val="32"/>
          <w:szCs w:val="32"/>
          <w:lang w:eastAsia="zh-CN"/>
        </w:rPr>
        <w:t>。要引导并教育</w:t>
      </w:r>
      <w:r>
        <w:rPr>
          <w:b w:val="0"/>
          <w:bCs w:val="0"/>
          <w:spacing w:val="7"/>
          <w:sz w:val="32"/>
          <w:szCs w:val="32"/>
          <w:lang w:eastAsia="zh-CN"/>
        </w:rPr>
        <w:t>参赛队员</w:t>
      </w:r>
      <w:r>
        <w:rPr>
          <w:rFonts w:hint="eastAsia"/>
          <w:b w:val="0"/>
          <w:bCs w:val="0"/>
          <w:spacing w:val="7"/>
          <w:sz w:val="32"/>
          <w:szCs w:val="32"/>
          <w:lang w:eastAsia="zh-CN"/>
        </w:rPr>
        <w:t>和球队所有成员</w:t>
      </w:r>
      <w:r>
        <w:rPr>
          <w:b w:val="0"/>
          <w:bCs w:val="0"/>
          <w:spacing w:val="7"/>
          <w:sz w:val="32"/>
          <w:szCs w:val="32"/>
          <w:lang w:eastAsia="zh-CN"/>
        </w:rPr>
        <w:t>在场内场外都要</w:t>
      </w:r>
      <w:r>
        <w:rPr>
          <w:rFonts w:hint="eastAsia"/>
          <w:b w:val="0"/>
          <w:bCs w:val="0"/>
          <w:spacing w:val="7"/>
          <w:sz w:val="32"/>
          <w:szCs w:val="32"/>
          <w:lang w:eastAsia="zh-CN"/>
        </w:rPr>
        <w:t>遵守篮球规则和赛事手册要求，</w:t>
      </w:r>
      <w:r>
        <w:rPr>
          <w:b w:val="0"/>
          <w:bCs w:val="0"/>
          <w:spacing w:val="7"/>
          <w:sz w:val="32"/>
          <w:szCs w:val="32"/>
          <w:lang w:eastAsia="zh-CN"/>
        </w:rPr>
        <w:t>保持尊重和礼貌，严禁辱骂和挑衅等行为，</w:t>
      </w:r>
      <w:r>
        <w:rPr>
          <w:b w:val="0"/>
          <w:bCs w:val="0"/>
          <w:spacing w:val="4"/>
          <w:sz w:val="32"/>
          <w:szCs w:val="32"/>
          <w:lang w:eastAsia="zh-CN"/>
        </w:rPr>
        <w:t>赛场要合理运用身体</w:t>
      </w:r>
      <w:r>
        <w:rPr>
          <w:rFonts w:hint="eastAsia"/>
          <w:b w:val="0"/>
          <w:bCs w:val="0"/>
          <w:spacing w:val="4"/>
          <w:sz w:val="32"/>
          <w:szCs w:val="32"/>
          <w:lang w:eastAsia="zh-CN"/>
        </w:rPr>
        <w:t>，</w:t>
      </w:r>
      <w:r>
        <w:rPr>
          <w:b w:val="0"/>
          <w:bCs w:val="0"/>
          <w:spacing w:val="4"/>
          <w:sz w:val="32"/>
          <w:szCs w:val="32"/>
          <w:lang w:eastAsia="zh-CN"/>
        </w:rPr>
        <w:t>避免恶意</w:t>
      </w:r>
      <w:r>
        <w:rPr>
          <w:rFonts w:hint="eastAsia"/>
          <w:b w:val="0"/>
          <w:bCs w:val="0"/>
          <w:spacing w:val="4"/>
          <w:sz w:val="32"/>
          <w:szCs w:val="32"/>
          <w:lang w:eastAsia="zh-CN"/>
        </w:rPr>
        <w:t>伤人动作，</w:t>
      </w:r>
      <w:r>
        <w:rPr>
          <w:b w:val="0"/>
          <w:bCs w:val="0"/>
          <w:sz w:val="32"/>
          <w:szCs w:val="32"/>
          <w:lang w:eastAsia="zh-CN"/>
        </w:rPr>
        <w:t>保持冷静和理智</w:t>
      </w:r>
      <w:r>
        <w:rPr>
          <w:rFonts w:hint="eastAsia"/>
          <w:b w:val="0"/>
          <w:bCs w:val="0"/>
          <w:sz w:val="32"/>
          <w:szCs w:val="32"/>
          <w:lang w:eastAsia="zh-CN"/>
        </w:rPr>
        <w:t>，</w:t>
      </w:r>
      <w:r>
        <w:rPr>
          <w:b w:val="0"/>
          <w:bCs w:val="0"/>
          <w:sz w:val="32"/>
          <w:szCs w:val="32"/>
          <w:lang w:eastAsia="zh-CN"/>
        </w:rPr>
        <w:t>不因情绪波动而做出危险动作或行为。</w:t>
      </w:r>
    </w:p>
    <w:p w14:paraId="123D4AE2">
      <w:pPr>
        <w:pStyle w:val="3"/>
        <w:spacing w:before="0" w:line="520" w:lineRule="exact"/>
        <w:ind w:firstLine="640" w:firstLineChars="200"/>
        <w:jc w:val="both"/>
        <w:rPr>
          <w:rFonts w:asciiTheme="minorEastAsia" w:hAnsiTheme="minorEastAsia" w:eastAsiaTheme="minorEastAsia"/>
          <w:b w:val="0"/>
          <w:bCs w:val="0"/>
          <w:sz w:val="28"/>
          <w:szCs w:val="28"/>
          <w:lang w:eastAsia="zh-CN"/>
        </w:rPr>
      </w:pPr>
      <w:r>
        <w:rPr>
          <w:rFonts w:ascii="黑体" w:hAnsi="黑体" w:eastAsia="黑体"/>
          <w:b w:val="0"/>
          <w:bCs w:val="0"/>
          <w:sz w:val="32"/>
          <w:szCs w:val="28"/>
          <w:lang w:eastAsia="zh-CN"/>
        </w:rPr>
        <w:t xml:space="preserve">第二十条 </w:t>
      </w:r>
      <w:r>
        <w:rPr>
          <w:rFonts w:asciiTheme="minorEastAsia" w:hAnsiTheme="minorEastAsia" w:eastAsiaTheme="minorEastAsia"/>
          <w:b w:val="0"/>
          <w:bCs w:val="0"/>
          <w:sz w:val="28"/>
          <w:szCs w:val="28"/>
          <w:lang w:eastAsia="zh-CN"/>
        </w:rPr>
        <w:t xml:space="preserve"> </w:t>
      </w:r>
      <w:r>
        <w:rPr>
          <w:b w:val="0"/>
          <w:bCs w:val="0"/>
          <w:sz w:val="32"/>
          <w:szCs w:val="32"/>
          <w:lang w:eastAsia="zh-CN"/>
        </w:rPr>
        <w:t>体检和保险</w:t>
      </w:r>
    </w:p>
    <w:p w14:paraId="2BC57822">
      <w:pPr>
        <w:pStyle w:val="3"/>
        <w:spacing w:before="0" w:line="520" w:lineRule="exact"/>
        <w:ind w:firstLine="640" w:firstLineChars="200"/>
        <w:jc w:val="both"/>
        <w:rPr>
          <w:b w:val="0"/>
          <w:bCs w:val="0"/>
          <w:sz w:val="32"/>
          <w:szCs w:val="32"/>
          <w:lang w:eastAsia="zh-CN"/>
        </w:rPr>
      </w:pPr>
      <w:r>
        <w:rPr>
          <w:b w:val="0"/>
          <w:bCs w:val="0"/>
          <w:sz w:val="32"/>
          <w:szCs w:val="32"/>
          <w:lang w:eastAsia="zh-CN"/>
        </w:rPr>
        <w:t>参赛队伍需为参赛人员购买必要的人身</w:t>
      </w:r>
      <w:r>
        <w:rPr>
          <w:rFonts w:hint="eastAsia"/>
          <w:b w:val="0"/>
          <w:bCs w:val="0"/>
          <w:sz w:val="32"/>
          <w:szCs w:val="32"/>
          <w:lang w:eastAsia="zh-CN"/>
        </w:rPr>
        <w:t>意外伤害险、失能险等</w:t>
      </w:r>
      <w:r>
        <w:rPr>
          <w:b w:val="0"/>
          <w:bCs w:val="0"/>
          <w:sz w:val="32"/>
          <w:szCs w:val="32"/>
          <w:lang w:eastAsia="zh-CN"/>
        </w:rPr>
        <w:t>保险，并视情况对比赛相</w:t>
      </w:r>
      <w:r>
        <w:rPr>
          <w:rFonts w:hint="eastAsia"/>
          <w:b w:val="0"/>
          <w:bCs w:val="0"/>
          <w:sz w:val="32"/>
          <w:szCs w:val="32"/>
          <w:lang w:eastAsia="zh-CN"/>
        </w:rPr>
        <w:t>关</w:t>
      </w:r>
      <w:r>
        <w:rPr>
          <w:b w:val="0"/>
          <w:bCs w:val="0"/>
          <w:sz w:val="32"/>
          <w:szCs w:val="32"/>
          <w:lang w:eastAsia="zh-CN"/>
        </w:rPr>
        <w:t>联的风险和责任进行投保。赛前应进行必要的身体健康检查，确保每位参赛运动员的身体状况及心</w:t>
      </w:r>
      <w:r>
        <w:rPr>
          <w:rFonts w:hint="eastAsia"/>
          <w:b w:val="0"/>
          <w:bCs w:val="0"/>
          <w:sz w:val="32"/>
          <w:szCs w:val="32"/>
          <w:lang w:eastAsia="zh-CN"/>
        </w:rPr>
        <w:t>理</w:t>
      </w:r>
      <w:r>
        <w:rPr>
          <w:b w:val="0"/>
          <w:bCs w:val="0"/>
          <w:sz w:val="32"/>
          <w:szCs w:val="32"/>
          <w:lang w:eastAsia="zh-CN"/>
        </w:rPr>
        <w:t>状况良好。</w:t>
      </w:r>
      <w:r>
        <w:rPr>
          <w:rFonts w:hint="eastAsia"/>
          <w:b w:val="0"/>
          <w:bCs w:val="0"/>
          <w:sz w:val="32"/>
          <w:szCs w:val="32"/>
          <w:lang w:eastAsia="zh-CN"/>
        </w:rPr>
        <w:t>比赛举办方应要求参赛队伍和参赛运动员签署统一模版的参赛承诺书，并视情为参赛者购买保险。</w:t>
      </w:r>
      <w:r>
        <w:rPr>
          <w:b w:val="0"/>
          <w:bCs w:val="0"/>
          <w:sz w:val="32"/>
          <w:szCs w:val="32"/>
          <w:lang w:eastAsia="zh-CN"/>
        </w:rPr>
        <w:t>每位参赛人员都应提供其比赛期间紧急联系人的联络方式。如有健康问题，</w:t>
      </w:r>
      <w:r>
        <w:rPr>
          <w:rFonts w:hint="eastAsia"/>
          <w:b w:val="0"/>
          <w:bCs w:val="0"/>
          <w:sz w:val="32"/>
          <w:szCs w:val="32"/>
          <w:lang w:eastAsia="zh-CN"/>
        </w:rPr>
        <w:t>需</w:t>
      </w:r>
      <w:r>
        <w:rPr>
          <w:b w:val="0"/>
          <w:bCs w:val="0"/>
          <w:sz w:val="32"/>
          <w:szCs w:val="32"/>
          <w:lang w:eastAsia="zh-CN"/>
        </w:rPr>
        <w:t>及时告知</w:t>
      </w:r>
      <w:r>
        <w:rPr>
          <w:rFonts w:hint="eastAsia"/>
          <w:b w:val="0"/>
          <w:bCs w:val="0"/>
          <w:sz w:val="32"/>
          <w:szCs w:val="32"/>
          <w:lang w:eastAsia="zh-CN"/>
        </w:rPr>
        <w:t>球队和赛区</w:t>
      </w:r>
      <w:r>
        <w:rPr>
          <w:b w:val="0"/>
          <w:bCs w:val="0"/>
          <w:sz w:val="32"/>
          <w:szCs w:val="32"/>
          <w:lang w:eastAsia="zh-CN"/>
        </w:rPr>
        <w:t>医疗人员。</w:t>
      </w:r>
    </w:p>
    <w:p w14:paraId="5FD74E90">
      <w:pPr>
        <w:pStyle w:val="3"/>
        <w:spacing w:before="0" w:line="520" w:lineRule="exact"/>
        <w:ind w:firstLine="640" w:firstLineChars="200"/>
        <w:jc w:val="both"/>
        <w:rPr>
          <w:b w:val="0"/>
          <w:bCs w:val="0"/>
          <w:sz w:val="32"/>
          <w:szCs w:val="32"/>
          <w:lang w:eastAsia="zh-CN"/>
        </w:rPr>
      </w:pPr>
      <w:r>
        <w:rPr>
          <w:rFonts w:ascii="黑体" w:hAnsi="黑体" w:eastAsia="黑体" w:cs="黑体"/>
          <w:b w:val="0"/>
          <w:bCs w:val="0"/>
          <w:sz w:val="32"/>
          <w:szCs w:val="32"/>
          <w:lang w:eastAsia="zh-CN"/>
        </w:rPr>
        <w:t>第二十一条</w:t>
      </w:r>
      <w:r>
        <w:rPr>
          <w:rFonts w:cs="黑体" w:asciiTheme="minorEastAsia" w:hAnsiTheme="minorEastAsia" w:eastAsiaTheme="minorEastAsia"/>
          <w:b w:val="0"/>
          <w:bCs w:val="0"/>
          <w:sz w:val="28"/>
          <w:szCs w:val="28"/>
          <w:lang w:eastAsia="zh-CN"/>
        </w:rPr>
        <w:t xml:space="preserve">  </w:t>
      </w:r>
      <w:r>
        <w:rPr>
          <w:b w:val="0"/>
          <w:bCs w:val="0"/>
          <w:sz w:val="32"/>
          <w:szCs w:val="32"/>
          <w:lang w:eastAsia="zh-CN"/>
        </w:rPr>
        <w:t>装备和随</w:t>
      </w:r>
      <w:r>
        <w:rPr>
          <w:rFonts w:hint="eastAsia"/>
          <w:b w:val="0"/>
          <w:bCs w:val="0"/>
          <w:sz w:val="32"/>
          <w:szCs w:val="32"/>
          <w:lang w:eastAsia="zh-CN"/>
        </w:rPr>
        <w:t>身</w:t>
      </w:r>
      <w:r>
        <w:rPr>
          <w:b w:val="0"/>
          <w:bCs w:val="0"/>
          <w:sz w:val="32"/>
          <w:szCs w:val="32"/>
          <w:lang w:eastAsia="zh-CN"/>
        </w:rPr>
        <w:t>物品安全检查</w:t>
      </w:r>
    </w:p>
    <w:p w14:paraId="704F7B19">
      <w:pPr>
        <w:pStyle w:val="3"/>
        <w:spacing w:before="0" w:line="520" w:lineRule="exact"/>
        <w:ind w:firstLine="668" w:firstLineChars="200"/>
        <w:jc w:val="both"/>
        <w:rPr>
          <w:b w:val="0"/>
          <w:bCs w:val="0"/>
          <w:sz w:val="32"/>
          <w:szCs w:val="32"/>
          <w:lang w:eastAsia="zh-CN"/>
        </w:rPr>
      </w:pPr>
      <w:r>
        <w:rPr>
          <w:b w:val="0"/>
          <w:bCs w:val="0"/>
          <w:spacing w:val="7"/>
          <w:sz w:val="32"/>
          <w:szCs w:val="32"/>
          <w:lang w:eastAsia="zh-CN"/>
        </w:rPr>
        <w:t>各参赛队伍赛前应确保参赛装备符合相应</w:t>
      </w:r>
      <w:r>
        <w:rPr>
          <w:rFonts w:hint="eastAsia"/>
          <w:b w:val="0"/>
          <w:bCs w:val="0"/>
          <w:spacing w:val="7"/>
          <w:sz w:val="32"/>
          <w:szCs w:val="32"/>
          <w:lang w:eastAsia="zh-CN"/>
        </w:rPr>
        <w:t>篮球</w:t>
      </w:r>
      <w:r>
        <w:rPr>
          <w:b w:val="0"/>
          <w:bCs w:val="0"/>
          <w:spacing w:val="7"/>
          <w:sz w:val="32"/>
          <w:szCs w:val="32"/>
          <w:lang w:eastAsia="zh-CN"/>
        </w:rPr>
        <w:t>规</w:t>
      </w:r>
      <w:r>
        <w:rPr>
          <w:rFonts w:hint="eastAsia"/>
          <w:b w:val="0"/>
          <w:bCs w:val="0"/>
          <w:spacing w:val="7"/>
          <w:sz w:val="32"/>
          <w:szCs w:val="32"/>
          <w:lang w:eastAsia="zh-CN"/>
        </w:rPr>
        <w:t>则</w:t>
      </w:r>
      <w:r>
        <w:rPr>
          <w:b w:val="0"/>
          <w:bCs w:val="0"/>
          <w:spacing w:val="7"/>
          <w:sz w:val="32"/>
          <w:szCs w:val="32"/>
          <w:lang w:eastAsia="zh-CN"/>
        </w:rPr>
        <w:t>及安全标准，</w:t>
      </w:r>
      <w:r>
        <w:rPr>
          <w:b w:val="0"/>
          <w:bCs w:val="0"/>
          <w:sz w:val="32"/>
          <w:szCs w:val="32"/>
          <w:lang w:eastAsia="zh-CN"/>
        </w:rPr>
        <w:t>如</w:t>
      </w:r>
      <w:r>
        <w:rPr>
          <w:rFonts w:hint="eastAsia"/>
          <w:b w:val="0"/>
          <w:bCs w:val="0"/>
          <w:sz w:val="32"/>
          <w:szCs w:val="32"/>
          <w:lang w:eastAsia="zh-CN"/>
        </w:rPr>
        <w:t>篮球</w:t>
      </w:r>
      <w:r>
        <w:rPr>
          <w:b w:val="0"/>
          <w:bCs w:val="0"/>
          <w:sz w:val="32"/>
          <w:szCs w:val="32"/>
          <w:lang w:eastAsia="zh-CN"/>
        </w:rPr>
        <w:t>鞋</w:t>
      </w:r>
      <w:r>
        <w:rPr>
          <w:rFonts w:hint="eastAsia"/>
          <w:b w:val="0"/>
          <w:bCs w:val="0"/>
          <w:sz w:val="32"/>
          <w:szCs w:val="32"/>
          <w:lang w:eastAsia="zh-CN"/>
        </w:rPr>
        <w:t>和各类</w:t>
      </w:r>
      <w:r>
        <w:rPr>
          <w:b w:val="0"/>
          <w:bCs w:val="0"/>
          <w:sz w:val="32"/>
          <w:szCs w:val="32"/>
          <w:lang w:eastAsia="zh-CN"/>
        </w:rPr>
        <w:t>护</w:t>
      </w:r>
      <w:r>
        <w:rPr>
          <w:rFonts w:hint="eastAsia"/>
          <w:b w:val="0"/>
          <w:bCs w:val="0"/>
          <w:sz w:val="32"/>
          <w:szCs w:val="32"/>
          <w:lang w:eastAsia="zh-CN"/>
        </w:rPr>
        <w:t>具</w:t>
      </w:r>
      <w:r>
        <w:rPr>
          <w:b w:val="0"/>
          <w:bCs w:val="0"/>
          <w:sz w:val="32"/>
          <w:szCs w:val="32"/>
          <w:lang w:eastAsia="zh-CN"/>
        </w:rPr>
        <w:t>板等。针对有安全隐患的装备</w:t>
      </w:r>
      <w:r>
        <w:rPr>
          <w:rFonts w:hint="eastAsia"/>
          <w:b w:val="0"/>
          <w:bCs w:val="0"/>
          <w:sz w:val="32"/>
          <w:szCs w:val="32"/>
          <w:lang w:eastAsia="zh-CN"/>
        </w:rPr>
        <w:t>和戒指等装饰品</w:t>
      </w:r>
      <w:r>
        <w:rPr>
          <w:b w:val="0"/>
          <w:bCs w:val="0"/>
          <w:sz w:val="32"/>
          <w:szCs w:val="32"/>
          <w:lang w:eastAsia="zh-CN"/>
        </w:rPr>
        <w:t>，要及时</w:t>
      </w:r>
      <w:r>
        <w:rPr>
          <w:rFonts w:hint="eastAsia"/>
          <w:b w:val="0"/>
          <w:bCs w:val="0"/>
          <w:sz w:val="32"/>
          <w:szCs w:val="32"/>
          <w:lang w:eastAsia="zh-CN"/>
        </w:rPr>
        <w:t>替换</w:t>
      </w:r>
      <w:r>
        <w:rPr>
          <w:b w:val="0"/>
          <w:bCs w:val="0"/>
          <w:sz w:val="32"/>
          <w:szCs w:val="32"/>
          <w:lang w:eastAsia="zh-CN"/>
        </w:rPr>
        <w:t>或维修。</w:t>
      </w:r>
      <w:r>
        <w:rPr>
          <w:b w:val="0"/>
          <w:bCs w:val="0"/>
          <w:spacing w:val="2"/>
          <w:sz w:val="32"/>
          <w:szCs w:val="32"/>
          <w:lang w:eastAsia="zh-CN"/>
        </w:rPr>
        <w:t>比赛期间不得携带或使用任何违禁品，包括兴奋剂、非法药物等。</w:t>
      </w:r>
    </w:p>
    <w:p w14:paraId="661C6B0A">
      <w:pPr>
        <w:pStyle w:val="3"/>
        <w:spacing w:before="0" w:line="520" w:lineRule="exact"/>
        <w:ind w:firstLine="640" w:firstLineChars="200"/>
        <w:jc w:val="both"/>
        <w:rPr>
          <w:b w:val="0"/>
          <w:bCs w:val="0"/>
          <w:sz w:val="32"/>
          <w:szCs w:val="32"/>
          <w:lang w:eastAsia="zh-CN"/>
        </w:rPr>
      </w:pPr>
      <w:r>
        <w:rPr>
          <w:rFonts w:ascii="黑体" w:hAnsi="黑体" w:eastAsia="黑体" w:cs="黑体"/>
          <w:b w:val="0"/>
          <w:bCs w:val="0"/>
          <w:sz w:val="32"/>
          <w:szCs w:val="32"/>
          <w:lang w:eastAsia="zh-CN"/>
        </w:rPr>
        <w:t xml:space="preserve">第二十二条 </w:t>
      </w:r>
      <w:r>
        <w:rPr>
          <w:rFonts w:cs="黑体" w:asciiTheme="minorEastAsia" w:hAnsiTheme="minorEastAsia" w:eastAsiaTheme="minorEastAsia"/>
          <w:b w:val="0"/>
          <w:bCs w:val="0"/>
          <w:sz w:val="28"/>
          <w:szCs w:val="28"/>
          <w:lang w:eastAsia="zh-CN"/>
        </w:rPr>
        <w:t xml:space="preserve"> </w:t>
      </w:r>
      <w:r>
        <w:rPr>
          <w:b w:val="0"/>
          <w:bCs w:val="0"/>
          <w:sz w:val="32"/>
          <w:szCs w:val="32"/>
          <w:lang w:eastAsia="zh-CN"/>
        </w:rPr>
        <w:t>突发事件安全管理</w:t>
      </w:r>
    </w:p>
    <w:p w14:paraId="1ED90B18">
      <w:pPr>
        <w:pStyle w:val="3"/>
        <w:spacing w:before="0" w:line="520" w:lineRule="exact"/>
        <w:ind w:firstLine="672" w:firstLineChars="200"/>
        <w:jc w:val="both"/>
        <w:rPr>
          <w:b w:val="0"/>
          <w:bCs w:val="0"/>
          <w:sz w:val="32"/>
          <w:szCs w:val="32"/>
          <w:lang w:eastAsia="zh-CN"/>
        </w:rPr>
      </w:pPr>
      <w:r>
        <w:rPr>
          <w:b w:val="0"/>
          <w:bCs w:val="0"/>
          <w:spacing w:val="8"/>
          <w:sz w:val="32"/>
          <w:szCs w:val="32"/>
          <w:lang w:eastAsia="zh-CN"/>
        </w:rPr>
        <w:t>各参赛队伍要提前熟悉比赛场地的紧急救援通道和医疗点位置。</w:t>
      </w:r>
      <w:r>
        <w:rPr>
          <w:b w:val="0"/>
          <w:bCs w:val="0"/>
          <w:spacing w:val="3"/>
          <w:sz w:val="32"/>
          <w:szCs w:val="32"/>
          <w:lang w:eastAsia="zh-CN"/>
        </w:rPr>
        <w:t>在发生紧急情况时，应积极配合</w:t>
      </w:r>
      <w:r>
        <w:rPr>
          <w:rFonts w:hint="eastAsia"/>
          <w:b w:val="0"/>
          <w:bCs w:val="0"/>
          <w:spacing w:val="3"/>
          <w:sz w:val="32"/>
          <w:szCs w:val="32"/>
          <w:lang w:eastAsia="zh-CN"/>
        </w:rPr>
        <w:t>举办方</w:t>
      </w:r>
      <w:r>
        <w:rPr>
          <w:b w:val="0"/>
          <w:bCs w:val="0"/>
          <w:spacing w:val="3"/>
          <w:sz w:val="32"/>
          <w:szCs w:val="32"/>
          <w:lang w:eastAsia="zh-CN"/>
        </w:rPr>
        <w:t>救援人员的工作，并视情况提供</w:t>
      </w:r>
      <w:r>
        <w:rPr>
          <w:b w:val="0"/>
          <w:bCs w:val="0"/>
          <w:sz w:val="32"/>
          <w:szCs w:val="32"/>
          <w:lang w:eastAsia="zh-CN"/>
        </w:rPr>
        <w:t>必要的帮助和信息。</w:t>
      </w:r>
      <w:r>
        <w:rPr>
          <w:rFonts w:hint="eastAsia"/>
          <w:b w:val="0"/>
          <w:bCs w:val="0"/>
          <w:sz w:val="32"/>
          <w:szCs w:val="32"/>
          <w:lang w:eastAsia="zh-CN"/>
        </w:rPr>
        <w:t>赛事举办方</w:t>
      </w:r>
      <w:r>
        <w:rPr>
          <w:b w:val="0"/>
          <w:bCs w:val="0"/>
          <w:sz w:val="32"/>
          <w:szCs w:val="32"/>
          <w:lang w:eastAsia="zh-CN"/>
        </w:rPr>
        <w:t>对比赛中受伤的运动员要持续进行跟踪关注，确保其得到适当的治疗和康复。</w:t>
      </w:r>
    </w:p>
    <w:p w14:paraId="2EC881E7">
      <w:pPr>
        <w:spacing w:before="0" w:line="520" w:lineRule="exact"/>
        <w:ind w:firstLine="562" w:firstLineChars="200"/>
        <w:jc w:val="both"/>
        <w:rPr>
          <w:rFonts w:asciiTheme="minorEastAsia" w:hAnsiTheme="minorEastAsia" w:eastAsiaTheme="minorEastAsia"/>
          <w:sz w:val="28"/>
          <w:szCs w:val="28"/>
        </w:rPr>
      </w:pPr>
    </w:p>
    <w:p w14:paraId="6685CD00">
      <w:pPr>
        <w:spacing w:before="0" w:line="240" w:lineRule="auto"/>
        <w:rPr>
          <w:rFonts w:asciiTheme="majorEastAsia" w:hAnsiTheme="majorEastAsia" w:eastAsiaTheme="majorEastAsia"/>
        </w:rPr>
      </w:pPr>
      <w:r>
        <w:rPr>
          <w:rFonts w:hint="eastAsia" w:asciiTheme="majorEastAsia" w:hAnsiTheme="majorEastAsia" w:eastAsiaTheme="majorEastAsia"/>
        </w:rPr>
        <w:t>第五章 观众行为安全规范</w:t>
      </w:r>
    </w:p>
    <w:p w14:paraId="0EE71226">
      <w:pPr>
        <w:spacing w:before="0" w:line="520" w:lineRule="exact"/>
        <w:ind w:firstLine="560" w:firstLineChars="200"/>
        <w:jc w:val="both"/>
        <w:rPr>
          <w:rFonts w:asciiTheme="minorEastAsia" w:hAnsiTheme="minorEastAsia" w:eastAsiaTheme="minorEastAsia"/>
          <w:b w:val="0"/>
          <w:bCs w:val="0"/>
          <w:sz w:val="28"/>
          <w:szCs w:val="28"/>
        </w:rPr>
      </w:pPr>
    </w:p>
    <w:p w14:paraId="619B71FA">
      <w:pPr>
        <w:pStyle w:val="3"/>
        <w:spacing w:before="0" w:line="520" w:lineRule="exact"/>
        <w:ind w:firstLine="640" w:firstLineChars="200"/>
        <w:jc w:val="both"/>
        <w:rPr>
          <w:b w:val="0"/>
          <w:bCs w:val="0"/>
          <w:spacing w:val="7"/>
          <w:sz w:val="32"/>
          <w:szCs w:val="32"/>
          <w:lang w:eastAsia="zh-CN"/>
        </w:rPr>
      </w:pPr>
      <w:r>
        <w:rPr>
          <w:rFonts w:ascii="黑体" w:hAnsi="黑体" w:eastAsia="黑体" w:cs="黑体"/>
          <w:b w:val="0"/>
          <w:bCs w:val="0"/>
          <w:sz w:val="32"/>
          <w:szCs w:val="32"/>
          <w:lang w:eastAsia="zh-CN"/>
        </w:rPr>
        <w:t>第二十三条</w:t>
      </w:r>
      <w:r>
        <w:rPr>
          <w:b w:val="0"/>
          <w:bCs w:val="0"/>
          <w:spacing w:val="7"/>
          <w:sz w:val="32"/>
          <w:szCs w:val="32"/>
          <w:lang w:eastAsia="zh-CN"/>
        </w:rPr>
        <w:t xml:space="preserve">  观众观看</w:t>
      </w:r>
      <w:r>
        <w:rPr>
          <w:rFonts w:hint="eastAsia"/>
          <w:b w:val="0"/>
          <w:bCs w:val="0"/>
          <w:spacing w:val="7"/>
          <w:sz w:val="32"/>
          <w:szCs w:val="32"/>
          <w:lang w:eastAsia="zh-CN"/>
        </w:rPr>
        <w:t>篮球</w:t>
      </w:r>
      <w:r>
        <w:rPr>
          <w:b w:val="0"/>
          <w:bCs w:val="0"/>
          <w:spacing w:val="7"/>
          <w:sz w:val="32"/>
          <w:szCs w:val="32"/>
          <w:lang w:eastAsia="zh-CN"/>
        </w:rPr>
        <w:t>比赛应按时持票入场，有序排队、自觉接受并配合赛前票证查验和安全检查，按照票面标明的位置入场就坐，</w:t>
      </w:r>
      <w:r>
        <w:rPr>
          <w:rFonts w:hint="eastAsia"/>
          <w:b w:val="0"/>
          <w:bCs w:val="0"/>
          <w:spacing w:val="7"/>
          <w:sz w:val="32"/>
          <w:szCs w:val="32"/>
          <w:lang w:eastAsia="zh-CN"/>
        </w:rPr>
        <w:t>不得酗酒后进入赛场，</w:t>
      </w:r>
      <w:r>
        <w:rPr>
          <w:b w:val="0"/>
          <w:bCs w:val="0"/>
          <w:spacing w:val="7"/>
          <w:sz w:val="32"/>
          <w:szCs w:val="32"/>
          <w:lang w:eastAsia="zh-CN"/>
        </w:rPr>
        <w:t>不得携带任何违禁物品进入</w:t>
      </w:r>
      <w:r>
        <w:rPr>
          <w:rFonts w:hint="eastAsia"/>
          <w:b w:val="0"/>
          <w:bCs w:val="0"/>
          <w:spacing w:val="7"/>
          <w:sz w:val="32"/>
          <w:szCs w:val="32"/>
          <w:lang w:eastAsia="zh-CN"/>
        </w:rPr>
        <w:t>赛场</w:t>
      </w:r>
      <w:r>
        <w:rPr>
          <w:b w:val="0"/>
          <w:bCs w:val="0"/>
          <w:spacing w:val="7"/>
          <w:sz w:val="32"/>
          <w:szCs w:val="32"/>
          <w:lang w:eastAsia="zh-CN"/>
        </w:rPr>
        <w:t>。观众</w:t>
      </w:r>
      <w:r>
        <w:rPr>
          <w:rFonts w:hint="eastAsia"/>
          <w:b w:val="0"/>
          <w:bCs w:val="0"/>
          <w:spacing w:val="7"/>
          <w:sz w:val="32"/>
          <w:szCs w:val="32"/>
          <w:lang w:eastAsia="zh-CN"/>
        </w:rPr>
        <w:t>应</w:t>
      </w:r>
      <w:r>
        <w:rPr>
          <w:b w:val="0"/>
          <w:bCs w:val="0"/>
          <w:spacing w:val="7"/>
          <w:sz w:val="32"/>
          <w:szCs w:val="32"/>
          <w:lang w:eastAsia="zh-CN"/>
        </w:rPr>
        <w:t>提前熟悉</w:t>
      </w:r>
      <w:r>
        <w:rPr>
          <w:rFonts w:hint="eastAsia"/>
          <w:b w:val="0"/>
          <w:bCs w:val="0"/>
          <w:spacing w:val="7"/>
          <w:sz w:val="32"/>
          <w:szCs w:val="32"/>
          <w:lang w:eastAsia="zh-CN"/>
        </w:rPr>
        <w:t>球馆</w:t>
      </w:r>
      <w:r>
        <w:rPr>
          <w:b w:val="0"/>
          <w:bCs w:val="0"/>
          <w:spacing w:val="7"/>
          <w:sz w:val="32"/>
          <w:szCs w:val="32"/>
          <w:lang w:eastAsia="zh-CN"/>
        </w:rPr>
        <w:t>出入口、紧急通道及医疗点的位置。</w:t>
      </w:r>
      <w:r>
        <w:rPr>
          <w:rFonts w:hint="eastAsia"/>
          <w:b w:val="0"/>
          <w:bCs w:val="0"/>
          <w:spacing w:val="7"/>
          <w:sz w:val="32"/>
          <w:szCs w:val="32"/>
          <w:lang w:eastAsia="zh-CN"/>
        </w:rPr>
        <w:t>服从工作人员安排，有序进场和离场，遵守观众席秩序，在指定座位就坐，注意保护财产安全和被监护人的人身安全；</w:t>
      </w:r>
      <w:r>
        <w:rPr>
          <w:b w:val="0"/>
          <w:bCs w:val="0"/>
          <w:spacing w:val="7"/>
          <w:sz w:val="32"/>
          <w:szCs w:val="32"/>
          <w:lang w:eastAsia="zh-CN"/>
        </w:rPr>
        <w:t>出现突发情况时，要听从指挥，根据体育场广播、大屏幕播报及现场工作人员的指引，有序进行疏散。</w:t>
      </w:r>
    </w:p>
    <w:p w14:paraId="5850E565">
      <w:pPr>
        <w:pStyle w:val="3"/>
        <w:spacing w:before="0" w:line="520" w:lineRule="exact"/>
        <w:ind w:firstLine="640" w:firstLineChars="200"/>
        <w:jc w:val="both"/>
        <w:rPr>
          <w:b w:val="0"/>
          <w:bCs w:val="0"/>
          <w:sz w:val="32"/>
          <w:szCs w:val="32"/>
          <w:lang w:eastAsia="zh-CN"/>
        </w:rPr>
      </w:pPr>
      <w:r>
        <w:rPr>
          <w:rFonts w:ascii="黑体" w:hAnsi="黑体" w:eastAsia="黑体" w:cs="黑体"/>
          <w:b w:val="0"/>
          <w:bCs w:val="0"/>
          <w:sz w:val="32"/>
          <w:szCs w:val="32"/>
          <w:lang w:eastAsia="zh-CN"/>
        </w:rPr>
        <w:t>第二十四条</w:t>
      </w:r>
      <w:r>
        <w:rPr>
          <w:rFonts w:cs="黑体" w:asciiTheme="minorEastAsia" w:hAnsiTheme="minorEastAsia" w:eastAsiaTheme="minorEastAsia"/>
          <w:b w:val="0"/>
          <w:bCs w:val="0"/>
          <w:spacing w:val="56"/>
          <w:sz w:val="28"/>
          <w:szCs w:val="28"/>
          <w:lang w:eastAsia="zh-CN"/>
        </w:rPr>
        <w:t xml:space="preserve"> </w:t>
      </w:r>
      <w:r>
        <w:rPr>
          <w:b w:val="0"/>
          <w:bCs w:val="0"/>
          <w:sz w:val="32"/>
          <w:szCs w:val="32"/>
          <w:lang w:eastAsia="zh-CN"/>
        </w:rPr>
        <w:t>观众应</w:t>
      </w:r>
      <w:r>
        <w:rPr>
          <w:rFonts w:cs="黑体"/>
          <w:b w:val="0"/>
          <w:bCs w:val="0"/>
          <w:spacing w:val="4"/>
          <w:sz w:val="32"/>
          <w:szCs w:val="32"/>
          <w:lang w:eastAsia="zh-CN" w:bidi="ar"/>
        </w:rPr>
        <w:t>遵守</w:t>
      </w:r>
      <w:r>
        <w:rPr>
          <w:rFonts w:hint="eastAsia" w:cs="黑体"/>
          <w:b w:val="0"/>
          <w:bCs w:val="0"/>
          <w:spacing w:val="4"/>
          <w:sz w:val="32"/>
          <w:szCs w:val="32"/>
          <w:lang w:eastAsia="zh-CN" w:bidi="ar"/>
        </w:rPr>
        <w:t>社会公德</w:t>
      </w:r>
      <w:r>
        <w:rPr>
          <w:rFonts w:cs="黑体"/>
          <w:b w:val="0"/>
          <w:bCs w:val="0"/>
          <w:spacing w:val="4"/>
          <w:sz w:val="32"/>
          <w:szCs w:val="32"/>
          <w:lang w:eastAsia="zh-CN" w:bidi="ar"/>
        </w:rPr>
        <w:t>，</w:t>
      </w:r>
      <w:r>
        <w:rPr>
          <w:b w:val="0"/>
          <w:bCs w:val="0"/>
          <w:sz w:val="32"/>
          <w:szCs w:val="32"/>
          <w:lang w:eastAsia="zh-CN"/>
        </w:rPr>
        <w:t>注重观赛礼仪，</w:t>
      </w:r>
      <w:r>
        <w:rPr>
          <w:rFonts w:cs="黑体"/>
          <w:b w:val="0"/>
          <w:bCs w:val="0"/>
          <w:spacing w:val="4"/>
          <w:sz w:val="32"/>
          <w:szCs w:val="32"/>
          <w:lang w:eastAsia="zh-CN" w:bidi="ar"/>
        </w:rPr>
        <w:t>文明观赛、理智对待输赢，不呼喊不文明口号，不互相辱骂和攻击</w:t>
      </w:r>
      <w:r>
        <w:rPr>
          <w:rFonts w:hint="eastAsia" w:cs="黑体"/>
          <w:b w:val="0"/>
          <w:bCs w:val="0"/>
          <w:spacing w:val="4"/>
          <w:sz w:val="32"/>
          <w:szCs w:val="32"/>
          <w:lang w:eastAsia="zh-CN" w:bidi="ar"/>
        </w:rPr>
        <w:t>，</w:t>
      </w:r>
      <w:r>
        <w:rPr>
          <w:rFonts w:cs="黑体"/>
          <w:b w:val="0"/>
          <w:bCs w:val="0"/>
          <w:spacing w:val="4"/>
          <w:sz w:val="32"/>
          <w:szCs w:val="32"/>
          <w:lang w:eastAsia="zh-CN" w:bidi="ar"/>
        </w:rPr>
        <w:t>不展示有不良内容的标语和横幅，不擅自或强行进入比赛场地，不得攀爬栏杆、座椅或其他设施，</w:t>
      </w:r>
      <w:r>
        <w:rPr>
          <w:rFonts w:hint="eastAsia" w:cs="黑体"/>
          <w:b w:val="0"/>
          <w:bCs w:val="0"/>
          <w:spacing w:val="4"/>
          <w:sz w:val="32"/>
          <w:szCs w:val="32"/>
          <w:lang w:eastAsia="zh-CN" w:bidi="ar"/>
        </w:rPr>
        <w:t>保持良好的卫生环境，禁止在场馆内吸烟，</w:t>
      </w:r>
      <w:r>
        <w:rPr>
          <w:rFonts w:cs="黑体"/>
          <w:b w:val="0"/>
          <w:bCs w:val="0"/>
          <w:spacing w:val="4"/>
          <w:sz w:val="32"/>
          <w:szCs w:val="32"/>
          <w:lang w:eastAsia="zh-CN" w:bidi="ar"/>
        </w:rPr>
        <w:t>不做向场内投掷杂物、使用激光发</w:t>
      </w:r>
      <w:r>
        <w:rPr>
          <w:b w:val="0"/>
          <w:bCs w:val="0"/>
          <w:sz w:val="32"/>
          <w:szCs w:val="32"/>
          <w:lang w:eastAsia="zh-CN"/>
        </w:rPr>
        <w:t>射器等严重影响比赛进行的行为。不围堵攻击裁判员、运动员和工作人员及以上人员的所乘车辆。</w:t>
      </w:r>
    </w:p>
    <w:p w14:paraId="339860D6">
      <w:pPr>
        <w:pStyle w:val="3"/>
        <w:spacing w:before="0" w:line="520" w:lineRule="exact"/>
        <w:ind w:firstLine="656" w:firstLineChars="200"/>
        <w:jc w:val="both"/>
        <w:rPr>
          <w:b w:val="0"/>
          <w:bCs w:val="0"/>
          <w:spacing w:val="2"/>
          <w:sz w:val="32"/>
          <w:szCs w:val="32"/>
          <w:lang w:eastAsia="zh-CN"/>
        </w:rPr>
      </w:pPr>
      <w:r>
        <w:rPr>
          <w:rFonts w:ascii="黑体" w:hAnsi="黑体" w:eastAsia="黑体" w:cs="黑体"/>
          <w:b w:val="0"/>
          <w:bCs w:val="0"/>
          <w:spacing w:val="4"/>
          <w:sz w:val="32"/>
          <w:szCs w:val="32"/>
          <w:lang w:eastAsia="zh-CN"/>
        </w:rPr>
        <w:t>第二十五条</w:t>
      </w:r>
      <w:r>
        <w:rPr>
          <w:rFonts w:cs="黑体" w:asciiTheme="minorEastAsia" w:hAnsiTheme="minorEastAsia" w:eastAsiaTheme="minorEastAsia"/>
          <w:b w:val="0"/>
          <w:bCs w:val="0"/>
          <w:spacing w:val="138"/>
          <w:sz w:val="28"/>
          <w:szCs w:val="28"/>
          <w:lang w:eastAsia="zh-CN"/>
        </w:rPr>
        <w:t xml:space="preserve"> </w:t>
      </w:r>
      <w:r>
        <w:rPr>
          <w:b w:val="0"/>
          <w:bCs w:val="0"/>
          <w:spacing w:val="4"/>
          <w:sz w:val="32"/>
          <w:szCs w:val="32"/>
          <w:lang w:eastAsia="zh-CN"/>
        </w:rPr>
        <w:t>外地球迷有组织地到其他赛区观看比赛，须</w:t>
      </w:r>
      <w:r>
        <w:rPr>
          <w:rFonts w:hint="eastAsia"/>
          <w:b w:val="0"/>
          <w:bCs w:val="0"/>
          <w:spacing w:val="4"/>
          <w:sz w:val="32"/>
          <w:szCs w:val="32"/>
          <w:lang w:eastAsia="zh-CN"/>
        </w:rPr>
        <w:t>作</w:t>
      </w:r>
      <w:r>
        <w:rPr>
          <w:b w:val="0"/>
          <w:bCs w:val="0"/>
          <w:spacing w:val="4"/>
          <w:sz w:val="32"/>
          <w:szCs w:val="32"/>
          <w:lang w:eastAsia="zh-CN"/>
        </w:rPr>
        <w:t>出</w:t>
      </w:r>
      <w:r>
        <w:rPr>
          <w:b w:val="0"/>
          <w:bCs w:val="0"/>
          <w:sz w:val="32"/>
          <w:szCs w:val="32"/>
          <w:lang w:eastAsia="zh-CN"/>
        </w:rPr>
        <w:t>文明观赛书面承诺，经</w:t>
      </w:r>
      <w:r>
        <w:rPr>
          <w:rFonts w:hint="eastAsia"/>
          <w:b w:val="0"/>
          <w:bCs w:val="0"/>
          <w:sz w:val="32"/>
          <w:szCs w:val="32"/>
          <w:lang w:eastAsia="zh-CN"/>
        </w:rPr>
        <w:t>赛事举办方在赛前联席会进行</w:t>
      </w:r>
      <w:r>
        <w:rPr>
          <w:b w:val="0"/>
          <w:bCs w:val="0"/>
          <w:sz w:val="32"/>
          <w:szCs w:val="32"/>
          <w:lang w:eastAsia="zh-CN"/>
        </w:rPr>
        <w:t>审核批准</w:t>
      </w:r>
      <w:r>
        <w:rPr>
          <w:rFonts w:hint="eastAsia"/>
          <w:b w:val="0"/>
          <w:bCs w:val="0"/>
          <w:sz w:val="32"/>
          <w:szCs w:val="32"/>
          <w:lang w:eastAsia="zh-CN"/>
        </w:rPr>
        <w:t>并妥善安排观赛席位</w:t>
      </w:r>
      <w:r>
        <w:rPr>
          <w:b w:val="0"/>
          <w:bCs w:val="0"/>
          <w:sz w:val="32"/>
          <w:szCs w:val="32"/>
          <w:lang w:eastAsia="zh-CN"/>
        </w:rPr>
        <w:t>，</w:t>
      </w:r>
      <w:r>
        <w:rPr>
          <w:rFonts w:hint="eastAsia"/>
          <w:b w:val="0"/>
          <w:bCs w:val="0"/>
          <w:sz w:val="32"/>
          <w:szCs w:val="32"/>
          <w:lang w:eastAsia="zh-CN"/>
        </w:rPr>
        <w:t>妥善</w:t>
      </w:r>
      <w:r>
        <w:rPr>
          <w:b w:val="0"/>
          <w:bCs w:val="0"/>
          <w:spacing w:val="2"/>
          <w:sz w:val="32"/>
          <w:szCs w:val="32"/>
          <w:lang w:eastAsia="zh-CN"/>
        </w:rPr>
        <w:t>保证</w:t>
      </w:r>
      <w:r>
        <w:rPr>
          <w:rFonts w:hint="eastAsia"/>
          <w:b w:val="0"/>
          <w:bCs w:val="0"/>
          <w:spacing w:val="2"/>
          <w:sz w:val="32"/>
          <w:szCs w:val="32"/>
          <w:lang w:eastAsia="zh-CN"/>
        </w:rPr>
        <w:t>外地球迷</w:t>
      </w:r>
      <w:r>
        <w:rPr>
          <w:b w:val="0"/>
          <w:bCs w:val="0"/>
          <w:spacing w:val="2"/>
          <w:sz w:val="32"/>
          <w:szCs w:val="32"/>
          <w:lang w:eastAsia="zh-CN"/>
        </w:rPr>
        <w:t>安全观赛。</w:t>
      </w:r>
    </w:p>
    <w:p w14:paraId="3C386326">
      <w:pPr>
        <w:pStyle w:val="3"/>
        <w:spacing w:before="0" w:line="520" w:lineRule="exact"/>
        <w:ind w:firstLine="652" w:firstLineChars="200"/>
        <w:jc w:val="both"/>
        <w:rPr>
          <w:b w:val="0"/>
          <w:bCs w:val="0"/>
          <w:sz w:val="32"/>
          <w:szCs w:val="32"/>
          <w:lang w:eastAsia="zh-CN"/>
        </w:rPr>
      </w:pPr>
      <w:r>
        <w:rPr>
          <w:rFonts w:ascii="黑体" w:hAnsi="黑体" w:eastAsia="黑体" w:cs="黑体"/>
          <w:b w:val="0"/>
          <w:bCs w:val="0"/>
          <w:spacing w:val="3"/>
          <w:sz w:val="32"/>
          <w:szCs w:val="32"/>
          <w:lang w:eastAsia="zh-CN"/>
        </w:rPr>
        <w:t>第二十六条</w:t>
      </w:r>
      <w:r>
        <w:rPr>
          <w:rFonts w:cs="黑体" w:asciiTheme="minorEastAsia" w:hAnsiTheme="minorEastAsia" w:eastAsiaTheme="minorEastAsia"/>
          <w:b w:val="0"/>
          <w:bCs w:val="0"/>
          <w:spacing w:val="3"/>
          <w:sz w:val="28"/>
          <w:szCs w:val="28"/>
          <w:lang w:eastAsia="zh-CN"/>
        </w:rPr>
        <w:t xml:space="preserve"> </w:t>
      </w:r>
      <w:r>
        <w:rPr>
          <w:rFonts w:hint="eastAsia" w:cs="黑体" w:asciiTheme="minorEastAsia" w:hAnsiTheme="minorEastAsia" w:eastAsiaTheme="minorEastAsia"/>
          <w:b w:val="0"/>
          <w:bCs w:val="0"/>
          <w:spacing w:val="3"/>
          <w:sz w:val="28"/>
          <w:szCs w:val="28"/>
          <w:lang w:eastAsia="zh-CN"/>
        </w:rPr>
        <w:t xml:space="preserve"> </w:t>
      </w:r>
      <w:r>
        <w:rPr>
          <w:b w:val="0"/>
          <w:bCs w:val="0"/>
          <w:sz w:val="32"/>
          <w:szCs w:val="32"/>
          <w:lang w:eastAsia="zh-CN"/>
        </w:rPr>
        <w:t>比赛</w:t>
      </w:r>
      <w:r>
        <w:rPr>
          <w:rFonts w:hint="eastAsia"/>
          <w:b w:val="0"/>
          <w:bCs w:val="0"/>
          <w:sz w:val="32"/>
          <w:szCs w:val="32"/>
          <w:lang w:eastAsia="zh-CN"/>
        </w:rPr>
        <w:t>举办</w:t>
      </w:r>
      <w:r>
        <w:rPr>
          <w:b w:val="0"/>
          <w:bCs w:val="0"/>
          <w:sz w:val="32"/>
          <w:szCs w:val="32"/>
          <w:lang w:eastAsia="zh-CN"/>
        </w:rPr>
        <w:t>方应</w:t>
      </w:r>
      <w:r>
        <w:rPr>
          <w:rFonts w:hint="eastAsia"/>
          <w:b w:val="0"/>
          <w:bCs w:val="0"/>
          <w:sz w:val="32"/>
          <w:szCs w:val="32"/>
          <w:lang w:eastAsia="zh-CN"/>
        </w:rPr>
        <w:t>同</w:t>
      </w:r>
      <w:r>
        <w:rPr>
          <w:b w:val="0"/>
          <w:bCs w:val="0"/>
          <w:sz w:val="32"/>
          <w:szCs w:val="32"/>
          <w:lang w:eastAsia="zh-CN"/>
        </w:rPr>
        <w:t>公安</w:t>
      </w:r>
      <w:r>
        <w:rPr>
          <w:rFonts w:hint="eastAsia"/>
          <w:b w:val="0"/>
          <w:bCs w:val="0"/>
          <w:sz w:val="32"/>
          <w:szCs w:val="32"/>
          <w:lang w:eastAsia="zh-CN"/>
        </w:rPr>
        <w:t>等有关部门，依规有序处理赛场内外发生的治安问题和突发事件：</w:t>
      </w:r>
    </w:p>
    <w:p w14:paraId="17A01D62">
      <w:pPr>
        <w:pStyle w:val="3"/>
        <w:spacing w:before="0" w:line="520" w:lineRule="exact"/>
        <w:ind w:firstLine="640" w:firstLineChars="200"/>
        <w:jc w:val="both"/>
        <w:rPr>
          <w:b w:val="0"/>
          <w:bCs w:val="0"/>
          <w:sz w:val="32"/>
          <w:szCs w:val="32"/>
          <w:lang w:eastAsia="zh-CN"/>
        </w:rPr>
      </w:pPr>
      <w:r>
        <w:rPr>
          <w:rFonts w:hint="eastAsia"/>
          <w:b w:val="0"/>
          <w:bCs w:val="0"/>
          <w:sz w:val="32"/>
          <w:szCs w:val="32"/>
          <w:lang w:eastAsia="zh-CN"/>
        </w:rPr>
        <w:t>（一）对</w:t>
      </w:r>
      <w:r>
        <w:rPr>
          <w:b w:val="0"/>
          <w:bCs w:val="0"/>
          <w:sz w:val="32"/>
          <w:szCs w:val="32"/>
          <w:lang w:eastAsia="zh-CN"/>
        </w:rPr>
        <w:t>现场观众</w:t>
      </w:r>
      <w:r>
        <w:rPr>
          <w:rFonts w:hint="eastAsia"/>
          <w:b w:val="0"/>
          <w:bCs w:val="0"/>
          <w:sz w:val="32"/>
          <w:szCs w:val="32"/>
          <w:lang w:eastAsia="zh-CN"/>
        </w:rPr>
        <w:t>呼喊侮辱性、歧视性、挑逗性口号或者使用肢体语言等一般性扰序行为，由志愿者</w:t>
      </w:r>
      <w:r>
        <w:rPr>
          <w:rFonts w:hint="eastAsia"/>
          <w:b w:val="0"/>
          <w:bCs w:val="0"/>
          <w:sz w:val="32"/>
          <w:szCs w:val="32"/>
          <w:lang w:val="en-US" w:eastAsia="zh-CN"/>
        </w:rPr>
        <w:t>等</w:t>
      </w:r>
      <w:r>
        <w:rPr>
          <w:rFonts w:hint="eastAsia"/>
          <w:b w:val="0"/>
          <w:bCs w:val="0"/>
          <w:sz w:val="32"/>
          <w:szCs w:val="32"/>
          <w:lang w:eastAsia="zh-CN"/>
        </w:rPr>
        <w:t xml:space="preserve">工作人员第一时间出面劝阻、制止。对不听劝阻、可能导致现场秩序混乱或造成比赛中断的，场内安保人员应迅速将其劝离并进行批评教育。 </w:t>
      </w:r>
    </w:p>
    <w:p w14:paraId="2DB25F13">
      <w:pPr>
        <w:pStyle w:val="3"/>
        <w:spacing w:before="0" w:line="520" w:lineRule="exact"/>
        <w:ind w:firstLine="640" w:firstLineChars="200"/>
        <w:jc w:val="both"/>
        <w:rPr>
          <w:b w:val="0"/>
          <w:bCs w:val="0"/>
          <w:sz w:val="32"/>
          <w:szCs w:val="32"/>
          <w:lang w:eastAsia="zh-CN"/>
        </w:rPr>
      </w:pPr>
      <w:r>
        <w:rPr>
          <w:rFonts w:hint="eastAsia"/>
          <w:b w:val="0"/>
          <w:bCs w:val="0"/>
          <w:sz w:val="32"/>
          <w:szCs w:val="32"/>
          <w:lang w:eastAsia="zh-CN"/>
        </w:rPr>
        <w:t xml:space="preserve">（二）对赛场内展示有不良内容的标语、横幅的，由工作人员第一时间出面劝阻、制止。对在赛场内展示、散发有违反国家法律法规、影响民族团结、违背社会主义核心价值观等内容的标语、横幅或者传单等非法宣传品，以及使用闪光灯、激光笔等影响比赛的，场内安保人员应当立即制止。情节严重者移交公安机关依法处置。 </w:t>
      </w:r>
    </w:p>
    <w:p w14:paraId="6E5A714B">
      <w:pPr>
        <w:pStyle w:val="3"/>
        <w:spacing w:before="0" w:line="520" w:lineRule="exact"/>
        <w:ind w:firstLine="640" w:firstLineChars="200"/>
        <w:jc w:val="both"/>
        <w:rPr>
          <w:b w:val="0"/>
          <w:bCs w:val="0"/>
          <w:sz w:val="32"/>
          <w:szCs w:val="32"/>
          <w:lang w:eastAsia="zh-CN"/>
        </w:rPr>
      </w:pPr>
      <w:r>
        <w:rPr>
          <w:rFonts w:hint="eastAsia"/>
          <w:b w:val="0"/>
          <w:bCs w:val="0"/>
          <w:sz w:val="32"/>
          <w:szCs w:val="32"/>
          <w:lang w:eastAsia="zh-CN"/>
        </w:rPr>
        <w:t xml:space="preserve">（三）对在比赛进行中，向场内投掷杂物、袭击比赛运动员、教练员、官员、裁判员，在场内寻衅滋事、打架斗殴或者燃放烟花爆竹等严重干扰比赛正常进行的行为，场内安保人员应当及时制止并固定证据，将肇事人员迅速带离现场，并移交公安机关依法处置。 </w:t>
      </w:r>
    </w:p>
    <w:p w14:paraId="125B4514">
      <w:pPr>
        <w:pStyle w:val="3"/>
        <w:spacing w:before="0" w:line="520" w:lineRule="exact"/>
        <w:ind w:firstLine="640" w:firstLineChars="200"/>
        <w:jc w:val="both"/>
        <w:rPr>
          <w:b w:val="0"/>
          <w:bCs w:val="0"/>
          <w:sz w:val="32"/>
          <w:szCs w:val="32"/>
          <w:lang w:eastAsia="zh-CN"/>
        </w:rPr>
      </w:pPr>
      <w:r>
        <w:rPr>
          <w:rFonts w:hint="eastAsia"/>
          <w:b w:val="0"/>
          <w:bCs w:val="0"/>
          <w:sz w:val="32"/>
          <w:szCs w:val="32"/>
          <w:lang w:eastAsia="zh-CN"/>
        </w:rPr>
        <w:t xml:space="preserve">（四）对场内双方运动员、教练员、官员发生语言和肢体冲突等行为的，首先由临场裁判员及举办方有关部门依规劝阻；冲突扩大或者举办方请求协助的，可协调当地公安机关对冲突双方进行分离；涉嫌违法犯罪的，由公安机关依法进行处理。 </w:t>
      </w:r>
    </w:p>
    <w:p w14:paraId="36AE2CE6">
      <w:pPr>
        <w:pStyle w:val="3"/>
        <w:spacing w:before="0" w:line="520" w:lineRule="exact"/>
        <w:ind w:firstLine="640" w:firstLineChars="200"/>
        <w:jc w:val="both"/>
        <w:rPr>
          <w:b w:val="0"/>
          <w:bCs w:val="0"/>
          <w:sz w:val="32"/>
          <w:szCs w:val="32"/>
          <w:lang w:eastAsia="zh-CN"/>
        </w:rPr>
      </w:pPr>
      <w:r>
        <w:rPr>
          <w:rFonts w:hint="eastAsia"/>
          <w:b w:val="0"/>
          <w:bCs w:val="0"/>
          <w:sz w:val="32"/>
          <w:szCs w:val="32"/>
          <w:lang w:eastAsia="zh-CN"/>
        </w:rPr>
        <w:t>（五）对场外发生围攻球队、斗殴、打砸车辆等严重扰序行为的，应当迅速制止，对带头煽动闹事和有关涉事人员，及时收集固定证据，依法予以处理。</w:t>
      </w:r>
    </w:p>
    <w:p w14:paraId="5622B1A0">
      <w:pPr>
        <w:pStyle w:val="3"/>
        <w:spacing w:before="0" w:line="520" w:lineRule="exact"/>
        <w:ind w:firstLine="560" w:firstLineChars="200"/>
        <w:jc w:val="both"/>
        <w:rPr>
          <w:rFonts w:asciiTheme="minorEastAsia" w:hAnsiTheme="minorEastAsia" w:eastAsiaTheme="minorEastAsia"/>
          <w:b w:val="0"/>
          <w:bCs w:val="0"/>
          <w:sz w:val="28"/>
          <w:szCs w:val="28"/>
          <w:lang w:eastAsia="zh-CN"/>
        </w:rPr>
      </w:pPr>
    </w:p>
    <w:p w14:paraId="20F81BEA">
      <w:pPr>
        <w:spacing w:before="0" w:line="240" w:lineRule="auto"/>
        <w:rPr>
          <w:rFonts w:asciiTheme="majorEastAsia" w:hAnsiTheme="majorEastAsia" w:eastAsiaTheme="majorEastAsia"/>
        </w:rPr>
      </w:pPr>
      <w:r>
        <w:rPr>
          <w:rFonts w:hint="eastAsia" w:asciiTheme="majorEastAsia" w:hAnsiTheme="majorEastAsia" w:eastAsiaTheme="majorEastAsia"/>
        </w:rPr>
        <w:t>第六章 应急处置机制和熔断</w:t>
      </w:r>
    </w:p>
    <w:p w14:paraId="18D6504F">
      <w:pPr>
        <w:spacing w:before="0" w:line="520" w:lineRule="exact"/>
        <w:ind w:firstLine="560" w:firstLineChars="200"/>
        <w:jc w:val="both"/>
        <w:rPr>
          <w:rFonts w:asciiTheme="minorEastAsia" w:hAnsiTheme="minorEastAsia" w:eastAsiaTheme="minorEastAsia"/>
          <w:b w:val="0"/>
          <w:bCs w:val="0"/>
          <w:sz w:val="28"/>
          <w:szCs w:val="28"/>
        </w:rPr>
      </w:pPr>
    </w:p>
    <w:p w14:paraId="11239EF6">
      <w:pPr>
        <w:pStyle w:val="3"/>
        <w:spacing w:before="0" w:line="520" w:lineRule="exact"/>
        <w:ind w:firstLine="656" w:firstLineChars="200"/>
        <w:jc w:val="both"/>
        <w:rPr>
          <w:b w:val="0"/>
          <w:bCs w:val="0"/>
          <w:sz w:val="32"/>
          <w:szCs w:val="32"/>
          <w:lang w:eastAsia="zh-CN"/>
        </w:rPr>
      </w:pPr>
      <w:r>
        <w:rPr>
          <w:rFonts w:ascii="黑体" w:hAnsi="黑体" w:eastAsia="黑体" w:cs="Times New Roman"/>
          <w:b w:val="0"/>
          <w:bCs w:val="0"/>
          <w:spacing w:val="4"/>
          <w:sz w:val="32"/>
          <w:szCs w:val="32"/>
          <w:lang w:eastAsia="zh-CN"/>
        </w:rPr>
        <w:t>第二十七条</w:t>
      </w:r>
      <w:r>
        <w:rPr>
          <w:rFonts w:cs="黑体" w:asciiTheme="minorEastAsia" w:hAnsiTheme="minorEastAsia" w:eastAsiaTheme="minorEastAsia"/>
          <w:b w:val="0"/>
          <w:bCs w:val="0"/>
          <w:spacing w:val="4"/>
          <w:sz w:val="28"/>
          <w:szCs w:val="28"/>
          <w:lang w:eastAsia="zh-CN"/>
        </w:rPr>
        <w:t xml:space="preserve"> </w:t>
      </w:r>
      <w:r>
        <w:rPr>
          <w:rFonts w:hint="eastAsia" w:cs="黑体" w:asciiTheme="minorEastAsia" w:hAnsiTheme="minorEastAsia" w:eastAsiaTheme="minorEastAsia"/>
          <w:b w:val="0"/>
          <w:bCs w:val="0"/>
          <w:spacing w:val="4"/>
          <w:sz w:val="28"/>
          <w:szCs w:val="28"/>
          <w:lang w:eastAsia="zh-CN"/>
        </w:rPr>
        <w:t xml:space="preserve"> </w:t>
      </w:r>
      <w:r>
        <w:rPr>
          <w:b w:val="0"/>
          <w:bCs w:val="0"/>
          <w:spacing w:val="4"/>
          <w:sz w:val="32"/>
          <w:szCs w:val="32"/>
          <w:lang w:eastAsia="zh-CN"/>
        </w:rPr>
        <w:t>赛事</w:t>
      </w:r>
      <w:r>
        <w:rPr>
          <w:rFonts w:hint="eastAsia"/>
          <w:b w:val="0"/>
          <w:bCs w:val="0"/>
          <w:spacing w:val="4"/>
          <w:sz w:val="32"/>
          <w:szCs w:val="32"/>
          <w:lang w:eastAsia="zh-CN"/>
        </w:rPr>
        <w:t>举办</w:t>
      </w:r>
      <w:r>
        <w:rPr>
          <w:b w:val="0"/>
          <w:bCs w:val="0"/>
          <w:spacing w:val="4"/>
          <w:sz w:val="32"/>
          <w:szCs w:val="32"/>
          <w:lang w:eastAsia="zh-CN"/>
        </w:rPr>
        <w:t>方应依据赛事</w:t>
      </w:r>
      <w:r>
        <w:rPr>
          <w:b w:val="0"/>
          <w:bCs w:val="0"/>
          <w:sz w:val="32"/>
          <w:szCs w:val="32"/>
          <w:lang w:eastAsia="zh-CN"/>
        </w:rPr>
        <w:t>情况，成立赛事安全应急</w:t>
      </w:r>
      <w:r>
        <w:rPr>
          <w:rFonts w:hint="eastAsia"/>
          <w:b w:val="0"/>
          <w:bCs w:val="0"/>
          <w:sz w:val="32"/>
          <w:szCs w:val="32"/>
          <w:lang w:eastAsia="zh-CN"/>
        </w:rPr>
        <w:t>部门</w:t>
      </w:r>
      <w:r>
        <w:rPr>
          <w:b w:val="0"/>
          <w:bCs w:val="0"/>
          <w:sz w:val="32"/>
          <w:szCs w:val="32"/>
          <w:lang w:eastAsia="zh-CN"/>
        </w:rPr>
        <w:t>，建立并完善应急处置流程</w:t>
      </w:r>
      <w:r>
        <w:rPr>
          <w:rFonts w:hint="eastAsia"/>
          <w:b w:val="0"/>
          <w:bCs w:val="0"/>
          <w:sz w:val="32"/>
          <w:szCs w:val="32"/>
          <w:lang w:eastAsia="zh-CN"/>
        </w:rPr>
        <w:t>，</w:t>
      </w:r>
      <w:r>
        <w:rPr>
          <w:b w:val="0"/>
          <w:bCs w:val="0"/>
          <w:sz w:val="32"/>
          <w:szCs w:val="32"/>
          <w:lang w:eastAsia="zh-CN"/>
        </w:rPr>
        <w:t>负责统筹比赛期间的</w:t>
      </w:r>
      <w:r>
        <w:rPr>
          <w:rFonts w:hint="eastAsia"/>
          <w:b w:val="0"/>
          <w:bCs w:val="0"/>
          <w:sz w:val="32"/>
          <w:szCs w:val="32"/>
          <w:lang w:eastAsia="zh-CN"/>
        </w:rPr>
        <w:t>应急处置</w:t>
      </w:r>
      <w:r>
        <w:rPr>
          <w:b w:val="0"/>
          <w:bCs w:val="0"/>
          <w:sz w:val="32"/>
          <w:szCs w:val="32"/>
          <w:lang w:eastAsia="zh-CN"/>
        </w:rPr>
        <w:t>工作</w:t>
      </w:r>
      <w:r>
        <w:rPr>
          <w:rFonts w:hint="eastAsia"/>
          <w:b w:val="0"/>
          <w:bCs w:val="0"/>
          <w:sz w:val="32"/>
          <w:szCs w:val="32"/>
          <w:lang w:eastAsia="zh-CN"/>
        </w:rPr>
        <w:t>，并在赛前至少进行一次应急演练</w:t>
      </w:r>
      <w:r>
        <w:rPr>
          <w:b w:val="0"/>
          <w:bCs w:val="0"/>
          <w:sz w:val="32"/>
          <w:szCs w:val="32"/>
          <w:lang w:eastAsia="zh-CN"/>
        </w:rPr>
        <w:t>。</w:t>
      </w:r>
      <w:r>
        <w:rPr>
          <w:b w:val="0"/>
          <w:bCs w:val="0"/>
          <w:spacing w:val="4"/>
          <w:sz w:val="32"/>
          <w:szCs w:val="32"/>
          <w:lang w:eastAsia="zh-CN"/>
        </w:rPr>
        <w:t>发生紧急情况时，现场巡查</w:t>
      </w:r>
      <w:r>
        <w:rPr>
          <w:b w:val="0"/>
          <w:bCs w:val="0"/>
          <w:sz w:val="32"/>
          <w:szCs w:val="32"/>
          <w:lang w:eastAsia="zh-CN"/>
        </w:rPr>
        <w:t>人员应立即向比赛监督和相关单位负责人报告。</w:t>
      </w:r>
      <w:r>
        <w:rPr>
          <w:rFonts w:hint="eastAsia"/>
          <w:b w:val="0"/>
          <w:bCs w:val="0"/>
          <w:sz w:val="32"/>
          <w:szCs w:val="32"/>
          <w:lang w:eastAsia="zh-CN"/>
        </w:rPr>
        <w:t>同时，安全</w:t>
      </w:r>
      <w:r>
        <w:rPr>
          <w:b w:val="0"/>
          <w:bCs w:val="0"/>
          <w:sz w:val="32"/>
          <w:szCs w:val="32"/>
          <w:lang w:eastAsia="zh-CN"/>
        </w:rPr>
        <w:t>应急</w:t>
      </w:r>
      <w:r>
        <w:rPr>
          <w:rFonts w:hint="eastAsia"/>
          <w:b w:val="0"/>
          <w:bCs w:val="0"/>
          <w:sz w:val="32"/>
          <w:szCs w:val="32"/>
          <w:lang w:eastAsia="zh-CN"/>
        </w:rPr>
        <w:t>部门和</w:t>
      </w:r>
      <w:r>
        <w:rPr>
          <w:b w:val="0"/>
          <w:bCs w:val="0"/>
          <w:sz w:val="32"/>
          <w:szCs w:val="32"/>
          <w:lang w:eastAsia="zh-CN"/>
        </w:rPr>
        <w:t>比赛监督应根据事件性质、规模和影响程度，启动应急预案</w:t>
      </w:r>
      <w:r>
        <w:rPr>
          <w:rFonts w:hint="eastAsia"/>
          <w:b w:val="0"/>
          <w:bCs w:val="0"/>
          <w:sz w:val="32"/>
          <w:szCs w:val="32"/>
          <w:lang w:eastAsia="zh-CN"/>
        </w:rPr>
        <w:t>，</w:t>
      </w:r>
      <w:r>
        <w:rPr>
          <w:b w:val="0"/>
          <w:bCs w:val="0"/>
          <w:sz w:val="32"/>
          <w:szCs w:val="32"/>
          <w:lang w:eastAsia="zh-CN"/>
        </w:rPr>
        <w:t>迅速作出决策（包括启动溶断机制等），并按照职责分工迅速开展救援、</w:t>
      </w:r>
      <w:r>
        <w:rPr>
          <w:b w:val="0"/>
          <w:bCs w:val="0"/>
          <w:spacing w:val="5"/>
          <w:sz w:val="32"/>
          <w:szCs w:val="32"/>
          <w:lang w:eastAsia="zh-CN"/>
        </w:rPr>
        <w:t>疏散、维稳等工作，确保</w:t>
      </w:r>
      <w:r>
        <w:rPr>
          <w:b w:val="0"/>
          <w:bCs w:val="0"/>
          <w:spacing w:val="2"/>
          <w:sz w:val="32"/>
          <w:szCs w:val="32"/>
          <w:lang w:eastAsia="zh-CN"/>
        </w:rPr>
        <w:t>现场秩序稳定和人员安全。</w:t>
      </w:r>
    </w:p>
    <w:p w14:paraId="5D460275">
      <w:pPr>
        <w:pStyle w:val="3"/>
        <w:spacing w:before="0" w:line="520" w:lineRule="exact"/>
        <w:ind w:firstLine="652" w:firstLineChars="200"/>
        <w:jc w:val="both"/>
        <w:rPr>
          <w:b w:val="0"/>
          <w:bCs w:val="0"/>
          <w:sz w:val="32"/>
          <w:szCs w:val="32"/>
          <w:lang w:eastAsia="zh-CN"/>
        </w:rPr>
      </w:pPr>
      <w:r>
        <w:rPr>
          <w:rFonts w:ascii="黑体" w:hAnsi="黑体" w:eastAsia="黑体" w:cs="黑体"/>
          <w:b w:val="0"/>
          <w:bCs w:val="0"/>
          <w:spacing w:val="3"/>
          <w:sz w:val="32"/>
          <w:szCs w:val="32"/>
          <w:lang w:eastAsia="zh-CN"/>
        </w:rPr>
        <w:t>第二十</w:t>
      </w:r>
      <w:r>
        <w:rPr>
          <w:rFonts w:hint="eastAsia" w:ascii="黑体" w:hAnsi="黑体" w:eastAsia="黑体" w:cs="黑体"/>
          <w:b w:val="0"/>
          <w:bCs w:val="0"/>
          <w:spacing w:val="3"/>
          <w:sz w:val="32"/>
          <w:szCs w:val="32"/>
          <w:lang w:eastAsia="zh-CN"/>
        </w:rPr>
        <w:t>八</w:t>
      </w:r>
      <w:r>
        <w:rPr>
          <w:rFonts w:ascii="黑体" w:hAnsi="黑体" w:eastAsia="黑体" w:cs="黑体"/>
          <w:b w:val="0"/>
          <w:bCs w:val="0"/>
          <w:spacing w:val="3"/>
          <w:sz w:val="32"/>
          <w:szCs w:val="32"/>
          <w:lang w:eastAsia="zh-CN"/>
        </w:rPr>
        <w:t>条</w:t>
      </w:r>
      <w:r>
        <w:rPr>
          <w:rFonts w:hint="eastAsia" w:cs="黑体" w:asciiTheme="minorEastAsia" w:hAnsiTheme="minorEastAsia" w:eastAsiaTheme="minorEastAsia"/>
          <w:b w:val="0"/>
          <w:bCs w:val="0"/>
          <w:spacing w:val="61"/>
          <w:sz w:val="28"/>
          <w:szCs w:val="28"/>
          <w:lang w:eastAsia="zh-CN"/>
        </w:rPr>
        <w:t xml:space="preserve">  </w:t>
      </w:r>
      <w:r>
        <w:rPr>
          <w:rFonts w:hint="eastAsia"/>
          <w:b w:val="0"/>
          <w:bCs w:val="0"/>
          <w:sz w:val="32"/>
          <w:szCs w:val="32"/>
          <w:lang w:eastAsia="zh-CN"/>
        </w:rPr>
        <w:t>在</w:t>
      </w:r>
      <w:r>
        <w:rPr>
          <w:b w:val="0"/>
          <w:bCs w:val="0"/>
          <w:sz w:val="32"/>
          <w:szCs w:val="32"/>
          <w:lang w:eastAsia="zh-CN"/>
        </w:rPr>
        <w:t>应急处置过程中，要保持通信畅通，及时向上级主管部门报告情况，并根据现场情况调整处置措施。确保事件发生后</w:t>
      </w:r>
      <w:r>
        <w:rPr>
          <w:rFonts w:hint="eastAsia"/>
          <w:b w:val="0"/>
          <w:bCs w:val="0"/>
          <w:sz w:val="32"/>
          <w:szCs w:val="32"/>
          <w:lang w:eastAsia="zh-CN"/>
        </w:rPr>
        <w:t>二十</w:t>
      </w:r>
      <w:r>
        <w:rPr>
          <w:b w:val="0"/>
          <w:bCs w:val="0"/>
          <w:spacing w:val="3"/>
          <w:sz w:val="32"/>
          <w:szCs w:val="32"/>
          <w:lang w:eastAsia="zh-CN"/>
        </w:rPr>
        <w:t>分钟内</w:t>
      </w:r>
      <w:r>
        <w:rPr>
          <w:b w:val="0"/>
          <w:bCs w:val="0"/>
          <w:spacing w:val="-4"/>
          <w:sz w:val="32"/>
          <w:szCs w:val="32"/>
          <w:lang w:eastAsia="zh-CN"/>
        </w:rPr>
        <w:t>口头汇报，</w:t>
      </w:r>
      <w:r>
        <w:rPr>
          <w:rFonts w:hint="eastAsia"/>
          <w:b w:val="0"/>
          <w:bCs w:val="0"/>
          <w:spacing w:val="-4"/>
          <w:sz w:val="32"/>
          <w:szCs w:val="32"/>
          <w:lang w:eastAsia="zh-CN"/>
        </w:rPr>
        <w:t>数</w:t>
      </w:r>
      <w:r>
        <w:rPr>
          <w:b w:val="0"/>
          <w:bCs w:val="0"/>
          <w:spacing w:val="-4"/>
          <w:sz w:val="32"/>
          <w:szCs w:val="32"/>
          <w:lang w:eastAsia="zh-CN"/>
        </w:rPr>
        <w:t>小时内书面汇报，不得迟报、谎报、瞒报和漏报。</w:t>
      </w:r>
      <w:r>
        <w:rPr>
          <w:b w:val="0"/>
          <w:bCs w:val="0"/>
          <w:sz w:val="32"/>
          <w:szCs w:val="32"/>
          <w:lang w:eastAsia="zh-CN"/>
        </w:rPr>
        <w:t>应急处置</w:t>
      </w:r>
      <w:r>
        <w:rPr>
          <w:rFonts w:hint="eastAsia"/>
          <w:b w:val="0"/>
          <w:bCs w:val="0"/>
          <w:sz w:val="32"/>
          <w:szCs w:val="32"/>
          <w:lang w:eastAsia="zh-CN"/>
        </w:rPr>
        <w:t>中或</w:t>
      </w:r>
      <w:r>
        <w:rPr>
          <w:b w:val="0"/>
          <w:bCs w:val="0"/>
          <w:sz w:val="32"/>
          <w:szCs w:val="32"/>
          <w:lang w:eastAsia="zh-CN"/>
        </w:rPr>
        <w:t>结束后，应及时清理</w:t>
      </w:r>
      <w:r>
        <w:rPr>
          <w:b w:val="0"/>
          <w:bCs w:val="0"/>
          <w:spacing w:val="3"/>
          <w:sz w:val="32"/>
          <w:szCs w:val="32"/>
          <w:lang w:eastAsia="zh-CN"/>
        </w:rPr>
        <w:t>现场，恢复赛场秩序，并配合相关单位进行进一步调查。</w:t>
      </w:r>
    </w:p>
    <w:p w14:paraId="5A23DD94">
      <w:pPr>
        <w:pStyle w:val="3"/>
        <w:spacing w:before="0" w:line="520" w:lineRule="exact"/>
        <w:ind w:firstLine="680" w:firstLineChars="200"/>
        <w:jc w:val="both"/>
        <w:rPr>
          <w:rFonts w:asciiTheme="minorEastAsia" w:hAnsiTheme="minorEastAsia" w:eastAsiaTheme="minorEastAsia"/>
          <w:b w:val="0"/>
          <w:bCs w:val="0"/>
          <w:sz w:val="28"/>
          <w:szCs w:val="28"/>
          <w:lang w:eastAsia="zh-CN"/>
        </w:rPr>
      </w:pPr>
      <w:r>
        <w:rPr>
          <w:rFonts w:ascii="黑体" w:hAnsi="黑体" w:eastAsia="黑体" w:cs="黑体"/>
          <w:b w:val="0"/>
          <w:bCs w:val="0"/>
          <w:spacing w:val="10"/>
          <w:sz w:val="32"/>
          <w:szCs w:val="32"/>
          <w:lang w:eastAsia="zh-CN"/>
        </w:rPr>
        <w:t>第二十</w:t>
      </w:r>
      <w:r>
        <w:rPr>
          <w:rFonts w:hint="eastAsia" w:ascii="黑体" w:hAnsi="黑体" w:eastAsia="黑体" w:cs="黑体"/>
          <w:b w:val="0"/>
          <w:bCs w:val="0"/>
          <w:spacing w:val="10"/>
          <w:sz w:val="32"/>
          <w:szCs w:val="32"/>
          <w:lang w:eastAsia="zh-CN"/>
        </w:rPr>
        <w:t>九</w:t>
      </w:r>
      <w:r>
        <w:rPr>
          <w:rFonts w:ascii="黑体" w:hAnsi="黑体" w:eastAsia="黑体" w:cs="黑体"/>
          <w:b w:val="0"/>
          <w:bCs w:val="0"/>
          <w:spacing w:val="10"/>
          <w:sz w:val="32"/>
          <w:szCs w:val="32"/>
          <w:lang w:eastAsia="zh-CN"/>
        </w:rPr>
        <w:t>条</w:t>
      </w:r>
      <w:r>
        <w:rPr>
          <w:rFonts w:hint="eastAsia" w:cs="黑体" w:asciiTheme="minorEastAsia" w:hAnsiTheme="minorEastAsia" w:eastAsiaTheme="minorEastAsia"/>
          <w:b w:val="0"/>
          <w:bCs w:val="0"/>
          <w:spacing w:val="69"/>
          <w:sz w:val="28"/>
          <w:szCs w:val="28"/>
          <w:lang w:eastAsia="zh-CN"/>
        </w:rPr>
        <w:t xml:space="preserve">  </w:t>
      </w:r>
      <w:r>
        <w:rPr>
          <w:rFonts w:hint="eastAsia"/>
          <w:b w:val="0"/>
          <w:bCs w:val="0"/>
          <w:sz w:val="32"/>
          <w:szCs w:val="32"/>
          <w:lang w:eastAsia="zh-CN"/>
        </w:rPr>
        <w:t>赛事举办方要认真落实《中华人民共和国突发事件应对法》相关规定，按照属地管理原则，建立健全赛事“熔断”机制，密切关注气象、水利、地震、交通运输、卫生健康、应急管理等部门发出的预警信息及有关灾害、事故信息，</w:t>
      </w:r>
      <w:r>
        <w:rPr>
          <w:b w:val="0"/>
          <w:bCs w:val="0"/>
          <w:spacing w:val="10"/>
          <w:sz w:val="32"/>
          <w:szCs w:val="32"/>
          <w:lang w:eastAsia="zh-CN"/>
        </w:rPr>
        <w:t>建立赛事安全预警</w:t>
      </w:r>
      <w:r>
        <w:rPr>
          <w:b w:val="0"/>
          <w:bCs w:val="0"/>
          <w:spacing w:val="8"/>
          <w:sz w:val="32"/>
          <w:szCs w:val="32"/>
          <w:lang w:eastAsia="zh-CN"/>
        </w:rPr>
        <w:t>与监测机制</w:t>
      </w:r>
      <w:r>
        <w:rPr>
          <w:rFonts w:hint="eastAsia"/>
          <w:b w:val="0"/>
          <w:bCs w:val="0"/>
          <w:spacing w:val="8"/>
          <w:sz w:val="32"/>
          <w:szCs w:val="32"/>
          <w:lang w:eastAsia="zh-CN"/>
        </w:rPr>
        <w:t>，</w:t>
      </w:r>
      <w:r>
        <w:rPr>
          <w:b w:val="0"/>
          <w:bCs w:val="0"/>
          <w:sz w:val="32"/>
          <w:szCs w:val="32"/>
          <w:lang w:eastAsia="zh-CN"/>
        </w:rPr>
        <w:t>通过视频监控设备、人员巡查等方式，</w:t>
      </w:r>
      <w:r>
        <w:rPr>
          <w:rFonts w:hint="eastAsia"/>
          <w:b w:val="0"/>
          <w:bCs w:val="0"/>
          <w:sz w:val="32"/>
          <w:szCs w:val="32"/>
          <w:lang w:eastAsia="zh-CN"/>
        </w:rPr>
        <w:t>加强防范，</w:t>
      </w:r>
      <w:r>
        <w:rPr>
          <w:b w:val="0"/>
          <w:bCs w:val="0"/>
          <w:spacing w:val="2"/>
          <w:sz w:val="32"/>
          <w:szCs w:val="32"/>
          <w:lang w:eastAsia="zh-CN"/>
        </w:rPr>
        <w:t>实时监测赛场安全状况</w:t>
      </w:r>
      <w:r>
        <w:rPr>
          <w:rFonts w:hint="eastAsia"/>
          <w:b w:val="0"/>
          <w:bCs w:val="0"/>
          <w:spacing w:val="2"/>
          <w:sz w:val="32"/>
          <w:szCs w:val="32"/>
          <w:lang w:eastAsia="zh-CN"/>
        </w:rPr>
        <w:t>，</w:t>
      </w:r>
      <w:r>
        <w:rPr>
          <w:b w:val="0"/>
          <w:bCs w:val="0"/>
          <w:spacing w:val="7"/>
          <w:sz w:val="32"/>
          <w:szCs w:val="32"/>
          <w:lang w:eastAsia="zh-CN"/>
        </w:rPr>
        <w:t>制定科学、高效、可操作的应急预案</w:t>
      </w:r>
      <w:r>
        <w:rPr>
          <w:rFonts w:hint="eastAsia"/>
          <w:b w:val="0"/>
          <w:bCs w:val="0"/>
          <w:spacing w:val="7"/>
          <w:sz w:val="32"/>
          <w:szCs w:val="32"/>
          <w:lang w:eastAsia="zh-CN"/>
        </w:rPr>
        <w:t>（含熔断机制）</w:t>
      </w:r>
      <w:r>
        <w:rPr>
          <w:b w:val="0"/>
          <w:bCs w:val="0"/>
          <w:spacing w:val="7"/>
          <w:sz w:val="32"/>
          <w:szCs w:val="32"/>
          <w:lang w:eastAsia="zh-CN"/>
        </w:rPr>
        <w:t>。</w:t>
      </w:r>
      <w:r>
        <w:rPr>
          <w:rFonts w:hint="eastAsia"/>
          <w:b w:val="0"/>
          <w:bCs w:val="0"/>
          <w:spacing w:val="7"/>
          <w:sz w:val="32"/>
          <w:szCs w:val="32"/>
          <w:lang w:eastAsia="zh-CN"/>
        </w:rPr>
        <w:t>参见附件6：篮球赛事活动熔断机制表。</w:t>
      </w:r>
    </w:p>
    <w:p w14:paraId="0DFC4345">
      <w:pPr>
        <w:pStyle w:val="3"/>
        <w:spacing w:before="0" w:line="520" w:lineRule="exact"/>
        <w:ind w:firstLine="640" w:firstLineChars="200"/>
        <w:jc w:val="both"/>
        <w:rPr>
          <w:b w:val="0"/>
          <w:bCs w:val="0"/>
          <w:sz w:val="32"/>
          <w:szCs w:val="32"/>
          <w:lang w:eastAsia="zh-CN"/>
        </w:rPr>
      </w:pPr>
      <w:r>
        <w:rPr>
          <w:rFonts w:hint="eastAsia" w:ascii="黑体" w:hAnsi="黑体" w:eastAsia="黑体" w:cs="黑体"/>
          <w:b w:val="0"/>
          <w:bCs w:val="0"/>
          <w:sz w:val="32"/>
          <w:szCs w:val="32"/>
          <w:lang w:eastAsia="zh-CN"/>
        </w:rPr>
        <w:t>第三十条</w:t>
      </w:r>
      <w:r>
        <w:rPr>
          <w:rFonts w:hint="eastAsia" w:cs="黑体" w:asciiTheme="minorEastAsia" w:hAnsiTheme="minorEastAsia" w:eastAsiaTheme="minorEastAsia"/>
          <w:b w:val="0"/>
          <w:bCs w:val="0"/>
          <w:sz w:val="28"/>
          <w:szCs w:val="28"/>
          <w:lang w:eastAsia="zh-CN"/>
        </w:rPr>
        <w:t xml:space="preserve">  </w:t>
      </w:r>
      <w:r>
        <w:rPr>
          <w:b w:val="0"/>
          <w:bCs w:val="0"/>
          <w:sz w:val="32"/>
          <w:szCs w:val="32"/>
          <w:lang w:eastAsia="zh-CN"/>
        </w:rPr>
        <w:t>遇有以下突发情形之一的，赛事</w:t>
      </w:r>
      <w:r>
        <w:rPr>
          <w:rFonts w:hint="eastAsia"/>
          <w:b w:val="0"/>
          <w:bCs w:val="0"/>
          <w:sz w:val="32"/>
          <w:szCs w:val="32"/>
          <w:lang w:eastAsia="zh-CN"/>
        </w:rPr>
        <w:t>举办方</w:t>
      </w:r>
      <w:r>
        <w:rPr>
          <w:b w:val="0"/>
          <w:bCs w:val="0"/>
          <w:sz w:val="32"/>
          <w:szCs w:val="32"/>
          <w:lang w:eastAsia="zh-CN"/>
        </w:rPr>
        <w:t>应</w:t>
      </w:r>
      <w:r>
        <w:rPr>
          <w:rFonts w:hint="eastAsia"/>
          <w:b w:val="0"/>
          <w:bCs w:val="0"/>
          <w:sz w:val="32"/>
          <w:szCs w:val="32"/>
          <w:lang w:eastAsia="zh-CN"/>
        </w:rPr>
        <w:t>及时启动“熔断”机制</w:t>
      </w:r>
      <w:r>
        <w:rPr>
          <w:b w:val="0"/>
          <w:bCs w:val="0"/>
          <w:sz w:val="32"/>
          <w:szCs w:val="32"/>
          <w:lang w:eastAsia="zh-CN"/>
        </w:rPr>
        <w:t>：</w:t>
      </w:r>
      <w:r>
        <w:rPr>
          <w:rFonts w:hint="eastAsia"/>
          <w:b w:val="0"/>
          <w:bCs w:val="0"/>
          <w:sz w:val="32"/>
          <w:szCs w:val="32"/>
          <w:lang w:eastAsia="zh-CN"/>
        </w:rPr>
        <w:t xml:space="preserve">  </w:t>
      </w:r>
    </w:p>
    <w:p w14:paraId="3EF72A85">
      <w:pPr>
        <w:pStyle w:val="3"/>
        <w:spacing w:before="0" w:line="520" w:lineRule="exact"/>
        <w:ind w:firstLine="640" w:firstLineChars="200"/>
        <w:jc w:val="both"/>
        <w:rPr>
          <w:b w:val="0"/>
          <w:bCs w:val="0"/>
          <w:sz w:val="32"/>
          <w:szCs w:val="32"/>
          <w:lang w:eastAsia="zh-CN"/>
        </w:rPr>
      </w:pPr>
      <w:r>
        <w:rPr>
          <w:b w:val="0"/>
          <w:bCs w:val="0"/>
          <w:sz w:val="32"/>
          <w:szCs w:val="32"/>
          <w:lang w:eastAsia="zh-CN"/>
        </w:rPr>
        <w:t xml:space="preserve">（一）自然灾害，包括气象灾害、地震灾害、地质灾害、生物灾害和火灾等； </w:t>
      </w:r>
    </w:p>
    <w:p w14:paraId="431D181A">
      <w:pPr>
        <w:pStyle w:val="3"/>
        <w:spacing w:before="0" w:line="520" w:lineRule="exact"/>
        <w:ind w:firstLine="640" w:firstLineChars="200"/>
        <w:jc w:val="both"/>
        <w:rPr>
          <w:b w:val="0"/>
          <w:bCs w:val="0"/>
          <w:sz w:val="32"/>
          <w:szCs w:val="32"/>
          <w:lang w:eastAsia="zh-CN"/>
        </w:rPr>
      </w:pPr>
      <w:r>
        <w:rPr>
          <w:b w:val="0"/>
          <w:bCs w:val="0"/>
          <w:sz w:val="32"/>
          <w:szCs w:val="32"/>
          <w:lang w:eastAsia="zh-CN"/>
        </w:rPr>
        <w:t xml:space="preserve">（二）事故灾难，包括各类安全事故、交通运输事故、公共体育设施和设备事故、环境污染和生态破坏事件等； </w:t>
      </w:r>
    </w:p>
    <w:p w14:paraId="412B45DF">
      <w:pPr>
        <w:pStyle w:val="3"/>
        <w:spacing w:before="0" w:line="520" w:lineRule="exact"/>
        <w:ind w:firstLine="640" w:firstLineChars="200"/>
        <w:jc w:val="both"/>
        <w:rPr>
          <w:b w:val="0"/>
          <w:bCs w:val="0"/>
          <w:sz w:val="32"/>
          <w:szCs w:val="32"/>
          <w:lang w:eastAsia="zh-CN"/>
        </w:rPr>
      </w:pPr>
      <w:r>
        <w:rPr>
          <w:b w:val="0"/>
          <w:bCs w:val="0"/>
          <w:sz w:val="32"/>
          <w:szCs w:val="32"/>
          <w:lang w:eastAsia="zh-CN"/>
        </w:rPr>
        <w:t xml:space="preserve">（三）公共卫生事件，包括传染病疫情、群体性不明原因疾病、食品安全和职业危害、动物疫情以及其他严重影响公众健康和生命安全的事件； </w:t>
      </w:r>
    </w:p>
    <w:p w14:paraId="5C008725">
      <w:pPr>
        <w:pStyle w:val="3"/>
        <w:spacing w:before="0" w:line="520" w:lineRule="exact"/>
        <w:ind w:firstLine="640" w:firstLineChars="200"/>
        <w:jc w:val="both"/>
        <w:rPr>
          <w:b w:val="0"/>
          <w:bCs w:val="0"/>
          <w:sz w:val="32"/>
          <w:szCs w:val="32"/>
          <w:lang w:eastAsia="zh-CN"/>
        </w:rPr>
      </w:pPr>
      <w:r>
        <w:rPr>
          <w:b w:val="0"/>
          <w:bCs w:val="0"/>
          <w:sz w:val="32"/>
          <w:szCs w:val="32"/>
          <w:lang w:eastAsia="zh-CN"/>
        </w:rPr>
        <w:t xml:space="preserve">（四）社会安全事件，包括恐怖袭击事件、经济安全事件和涉外突发事件等； </w:t>
      </w:r>
    </w:p>
    <w:p w14:paraId="5A4069CF">
      <w:pPr>
        <w:pStyle w:val="3"/>
        <w:spacing w:before="0" w:line="520" w:lineRule="exact"/>
        <w:ind w:firstLine="640" w:firstLineChars="200"/>
        <w:jc w:val="both"/>
        <w:rPr>
          <w:b w:val="0"/>
          <w:bCs w:val="0"/>
          <w:sz w:val="32"/>
          <w:szCs w:val="32"/>
          <w:lang w:eastAsia="zh-CN"/>
        </w:rPr>
      </w:pPr>
      <w:r>
        <w:rPr>
          <w:b w:val="0"/>
          <w:bCs w:val="0"/>
          <w:sz w:val="32"/>
          <w:szCs w:val="32"/>
          <w:lang w:eastAsia="zh-CN"/>
        </w:rPr>
        <w:t>（五）其他可能导致不再具备办赛条件的情形</w:t>
      </w:r>
      <w:r>
        <w:rPr>
          <w:rFonts w:hint="eastAsia"/>
          <w:b w:val="0"/>
          <w:bCs w:val="0"/>
          <w:sz w:val="32"/>
          <w:szCs w:val="32"/>
          <w:lang w:eastAsia="zh-CN"/>
        </w:rPr>
        <w:t>，如大规模群殴导致比赛中止等情况</w:t>
      </w:r>
      <w:r>
        <w:rPr>
          <w:b w:val="0"/>
          <w:bCs w:val="0"/>
          <w:sz w:val="32"/>
          <w:szCs w:val="32"/>
          <w:lang w:eastAsia="zh-CN"/>
        </w:rPr>
        <w:t xml:space="preserve">。 </w:t>
      </w:r>
    </w:p>
    <w:p w14:paraId="4F6E1E78">
      <w:pPr>
        <w:pStyle w:val="3"/>
        <w:spacing w:before="0" w:line="520" w:lineRule="exact"/>
        <w:ind w:firstLine="640" w:firstLineChars="200"/>
        <w:jc w:val="both"/>
        <w:rPr>
          <w:b w:val="0"/>
          <w:bCs w:val="0"/>
          <w:sz w:val="32"/>
          <w:szCs w:val="32"/>
          <w:lang w:eastAsia="zh-CN"/>
        </w:rPr>
      </w:pPr>
      <w:r>
        <w:rPr>
          <w:rFonts w:hint="eastAsia" w:ascii="黑体" w:hAnsi="黑体" w:eastAsia="黑体" w:cs="黑体"/>
          <w:b w:val="0"/>
          <w:bCs w:val="0"/>
          <w:sz w:val="32"/>
          <w:szCs w:val="32"/>
          <w:lang w:eastAsia="zh-CN"/>
        </w:rPr>
        <w:t xml:space="preserve">第三十一条  </w:t>
      </w:r>
      <w:r>
        <w:rPr>
          <w:rFonts w:hint="eastAsia"/>
          <w:b w:val="0"/>
          <w:bCs w:val="0"/>
          <w:sz w:val="32"/>
          <w:szCs w:val="32"/>
          <w:lang w:eastAsia="zh-CN"/>
        </w:rPr>
        <w:t>出现上述“熔断机制”情况之一的，</w:t>
      </w:r>
      <w:r>
        <w:rPr>
          <w:b w:val="0"/>
          <w:bCs w:val="0"/>
          <w:sz w:val="32"/>
          <w:szCs w:val="32"/>
          <w:lang w:eastAsia="zh-CN"/>
        </w:rPr>
        <w:t>赛事</w:t>
      </w:r>
      <w:r>
        <w:rPr>
          <w:rFonts w:hint="eastAsia"/>
          <w:b w:val="0"/>
          <w:bCs w:val="0"/>
          <w:sz w:val="32"/>
          <w:szCs w:val="32"/>
          <w:lang w:eastAsia="zh-CN"/>
        </w:rPr>
        <w:t>安全应急部门、和竞赛负责</w:t>
      </w:r>
      <w:r>
        <w:rPr>
          <w:b w:val="0"/>
          <w:bCs w:val="0"/>
          <w:sz w:val="32"/>
          <w:szCs w:val="32"/>
          <w:lang w:eastAsia="zh-CN"/>
        </w:rPr>
        <w:t>人</w:t>
      </w:r>
      <w:r>
        <w:rPr>
          <w:rFonts w:hint="eastAsia"/>
          <w:b w:val="0"/>
          <w:bCs w:val="0"/>
          <w:sz w:val="32"/>
          <w:szCs w:val="32"/>
          <w:lang w:eastAsia="zh-CN"/>
        </w:rPr>
        <w:t>、比赛监督</w:t>
      </w:r>
      <w:r>
        <w:rPr>
          <w:b w:val="0"/>
          <w:bCs w:val="0"/>
          <w:sz w:val="32"/>
          <w:szCs w:val="32"/>
          <w:lang w:eastAsia="zh-CN"/>
        </w:rPr>
        <w:t>或技术代表要结合实际情况，及时</w:t>
      </w:r>
      <w:r>
        <w:rPr>
          <w:rFonts w:hint="eastAsia"/>
          <w:b w:val="0"/>
          <w:bCs w:val="0"/>
          <w:sz w:val="32"/>
          <w:szCs w:val="32"/>
          <w:lang w:eastAsia="zh-CN"/>
        </w:rPr>
        <w:t>研究并</w:t>
      </w:r>
      <w:r>
        <w:rPr>
          <w:b w:val="0"/>
          <w:bCs w:val="0"/>
          <w:sz w:val="32"/>
          <w:szCs w:val="32"/>
          <w:lang w:eastAsia="zh-CN"/>
        </w:rPr>
        <w:t>提出启动“熔断”机制建议，</w:t>
      </w:r>
      <w:r>
        <w:rPr>
          <w:rFonts w:hint="eastAsia"/>
          <w:b w:val="0"/>
          <w:bCs w:val="0"/>
          <w:sz w:val="32"/>
          <w:szCs w:val="32"/>
          <w:lang w:eastAsia="zh-CN"/>
        </w:rPr>
        <w:t>比赛监督和</w:t>
      </w:r>
      <w:r>
        <w:rPr>
          <w:b w:val="0"/>
          <w:bCs w:val="0"/>
          <w:sz w:val="32"/>
          <w:szCs w:val="32"/>
          <w:lang w:eastAsia="zh-CN"/>
        </w:rPr>
        <w:t>赛事</w:t>
      </w:r>
      <w:r>
        <w:rPr>
          <w:rFonts w:hint="eastAsia"/>
          <w:b w:val="0"/>
          <w:bCs w:val="0"/>
          <w:sz w:val="32"/>
          <w:szCs w:val="32"/>
          <w:lang w:eastAsia="zh-CN"/>
        </w:rPr>
        <w:t>举办者</w:t>
      </w:r>
      <w:r>
        <w:rPr>
          <w:b w:val="0"/>
          <w:bCs w:val="0"/>
          <w:sz w:val="32"/>
          <w:szCs w:val="32"/>
          <w:lang w:eastAsia="zh-CN"/>
        </w:rPr>
        <w:t>应当即</w:t>
      </w:r>
      <w:r>
        <w:rPr>
          <w:rFonts w:hint="eastAsia"/>
          <w:b w:val="0"/>
          <w:bCs w:val="0"/>
          <w:sz w:val="32"/>
          <w:szCs w:val="32"/>
          <w:lang w:eastAsia="zh-CN"/>
        </w:rPr>
        <w:t>作</w:t>
      </w:r>
      <w:r>
        <w:rPr>
          <w:b w:val="0"/>
          <w:bCs w:val="0"/>
          <w:sz w:val="32"/>
          <w:szCs w:val="32"/>
          <w:lang w:eastAsia="zh-CN"/>
        </w:rPr>
        <w:t xml:space="preserve">出是否中止比赛的决定。 </w:t>
      </w:r>
    </w:p>
    <w:p w14:paraId="30908053">
      <w:pPr>
        <w:pStyle w:val="3"/>
        <w:spacing w:before="0" w:line="520" w:lineRule="exact"/>
        <w:ind w:firstLine="640" w:firstLineChars="200"/>
        <w:jc w:val="both"/>
        <w:rPr>
          <w:b w:val="0"/>
          <w:bCs w:val="0"/>
          <w:sz w:val="32"/>
          <w:szCs w:val="32"/>
          <w:lang w:eastAsia="zh-CN"/>
        </w:rPr>
      </w:pPr>
      <w:r>
        <w:rPr>
          <w:b w:val="0"/>
          <w:bCs w:val="0"/>
          <w:sz w:val="32"/>
          <w:szCs w:val="32"/>
          <w:lang w:eastAsia="zh-CN"/>
        </w:rPr>
        <w:t>赛事</w:t>
      </w:r>
      <w:r>
        <w:rPr>
          <w:rFonts w:hint="eastAsia"/>
          <w:b w:val="0"/>
          <w:bCs w:val="0"/>
          <w:sz w:val="32"/>
          <w:szCs w:val="32"/>
          <w:lang w:eastAsia="zh-CN"/>
        </w:rPr>
        <w:t>举办方</w:t>
      </w:r>
      <w:r>
        <w:rPr>
          <w:b w:val="0"/>
          <w:bCs w:val="0"/>
          <w:sz w:val="32"/>
          <w:szCs w:val="32"/>
          <w:lang w:eastAsia="zh-CN"/>
        </w:rPr>
        <w:t>犹豫不决或拒不采纳启动“熔断”机制建议的，</w:t>
      </w:r>
      <w:r>
        <w:rPr>
          <w:rFonts w:hint="eastAsia"/>
          <w:b w:val="0"/>
          <w:bCs w:val="0"/>
          <w:sz w:val="32"/>
          <w:szCs w:val="32"/>
          <w:lang w:eastAsia="zh-CN"/>
        </w:rPr>
        <w:t>比赛监督和</w:t>
      </w:r>
      <w:r>
        <w:rPr>
          <w:b w:val="0"/>
          <w:bCs w:val="0"/>
          <w:sz w:val="32"/>
          <w:szCs w:val="32"/>
          <w:lang w:eastAsia="zh-CN"/>
        </w:rPr>
        <w:t>技术代表有权直接向</w:t>
      </w:r>
      <w:r>
        <w:rPr>
          <w:rFonts w:hint="eastAsia"/>
          <w:b w:val="0"/>
          <w:bCs w:val="0"/>
          <w:sz w:val="32"/>
          <w:szCs w:val="32"/>
          <w:lang w:eastAsia="zh-CN"/>
        </w:rPr>
        <w:t>上级部门和</w:t>
      </w:r>
      <w:r>
        <w:rPr>
          <w:b w:val="0"/>
          <w:bCs w:val="0"/>
          <w:sz w:val="32"/>
          <w:szCs w:val="32"/>
          <w:lang w:eastAsia="zh-CN"/>
        </w:rPr>
        <w:t>所在地体育部门报告。接到报告后，地方体育部门应当立即</w:t>
      </w:r>
      <w:r>
        <w:rPr>
          <w:rFonts w:hint="eastAsia"/>
          <w:b w:val="0"/>
          <w:bCs w:val="0"/>
          <w:sz w:val="32"/>
          <w:szCs w:val="32"/>
          <w:lang w:eastAsia="zh-CN"/>
        </w:rPr>
        <w:t>作</w:t>
      </w:r>
      <w:r>
        <w:rPr>
          <w:b w:val="0"/>
          <w:bCs w:val="0"/>
          <w:sz w:val="32"/>
          <w:szCs w:val="32"/>
          <w:lang w:eastAsia="zh-CN"/>
        </w:rPr>
        <w:t>出是否中止比赛的决定。涉及重大体育赛事活动的，地方体育部门应当立即向同级人民政府报告，提出启动“熔断”机制。赛事</w:t>
      </w:r>
      <w:r>
        <w:rPr>
          <w:rFonts w:hint="eastAsia"/>
          <w:b w:val="0"/>
          <w:bCs w:val="0"/>
          <w:sz w:val="32"/>
          <w:szCs w:val="32"/>
          <w:lang w:eastAsia="zh-CN"/>
        </w:rPr>
        <w:t>举办方</w:t>
      </w:r>
      <w:r>
        <w:rPr>
          <w:b w:val="0"/>
          <w:bCs w:val="0"/>
          <w:sz w:val="32"/>
          <w:szCs w:val="32"/>
          <w:lang w:eastAsia="zh-CN"/>
        </w:rPr>
        <w:t>在当地人民政府</w:t>
      </w:r>
      <w:r>
        <w:rPr>
          <w:rFonts w:hint="eastAsia"/>
          <w:b w:val="0"/>
          <w:bCs w:val="0"/>
          <w:sz w:val="32"/>
          <w:szCs w:val="32"/>
          <w:lang w:eastAsia="zh-CN"/>
        </w:rPr>
        <w:t>作</w:t>
      </w:r>
      <w:r>
        <w:rPr>
          <w:b w:val="0"/>
          <w:bCs w:val="0"/>
          <w:sz w:val="32"/>
          <w:szCs w:val="32"/>
          <w:lang w:eastAsia="zh-CN"/>
        </w:rPr>
        <w:t>出中止比赛的决定后，应第一时间中止比赛。紧急情况下，赛事</w:t>
      </w:r>
      <w:r>
        <w:rPr>
          <w:rFonts w:hint="eastAsia"/>
          <w:b w:val="0"/>
          <w:bCs w:val="0"/>
          <w:sz w:val="32"/>
          <w:szCs w:val="32"/>
          <w:lang w:eastAsia="zh-CN"/>
        </w:rPr>
        <w:t>举办方和比赛监督可以根据安全应急情况，立即</w:t>
      </w:r>
      <w:r>
        <w:rPr>
          <w:b w:val="0"/>
          <w:bCs w:val="0"/>
          <w:sz w:val="32"/>
          <w:szCs w:val="32"/>
          <w:lang w:eastAsia="zh-CN"/>
        </w:rPr>
        <w:t>启动“熔断”机制，并</w:t>
      </w:r>
      <w:r>
        <w:rPr>
          <w:rFonts w:hint="eastAsia"/>
          <w:b w:val="0"/>
          <w:bCs w:val="0"/>
          <w:sz w:val="32"/>
          <w:szCs w:val="32"/>
          <w:lang w:eastAsia="zh-CN"/>
        </w:rPr>
        <w:t>及</w:t>
      </w:r>
      <w:r>
        <w:rPr>
          <w:b w:val="0"/>
          <w:bCs w:val="0"/>
          <w:sz w:val="32"/>
          <w:szCs w:val="32"/>
          <w:lang w:eastAsia="zh-CN"/>
        </w:rPr>
        <w:t xml:space="preserve">时向当地人民政府报告。 </w:t>
      </w:r>
    </w:p>
    <w:p w14:paraId="52B4597A">
      <w:pPr>
        <w:pStyle w:val="3"/>
        <w:spacing w:before="0" w:line="520" w:lineRule="exact"/>
        <w:ind w:firstLine="640" w:firstLineChars="200"/>
        <w:jc w:val="both"/>
        <w:rPr>
          <w:b w:val="0"/>
          <w:bCs w:val="0"/>
          <w:sz w:val="32"/>
          <w:szCs w:val="32"/>
          <w:lang w:eastAsia="zh-CN"/>
        </w:rPr>
      </w:pPr>
      <w:r>
        <w:rPr>
          <w:rFonts w:hint="eastAsia" w:ascii="黑体" w:hAnsi="黑体" w:eastAsia="黑体" w:cs="黑体"/>
          <w:b w:val="0"/>
          <w:bCs w:val="0"/>
          <w:sz w:val="32"/>
          <w:szCs w:val="32"/>
          <w:lang w:eastAsia="zh-CN"/>
        </w:rPr>
        <w:t>第三十二条</w:t>
      </w:r>
      <w:r>
        <w:rPr>
          <w:rFonts w:hint="eastAsia" w:cs="黑体" w:asciiTheme="minorEastAsia" w:hAnsiTheme="minorEastAsia" w:eastAsiaTheme="minorEastAsia"/>
          <w:b w:val="0"/>
          <w:bCs w:val="0"/>
          <w:sz w:val="28"/>
          <w:szCs w:val="28"/>
          <w:lang w:eastAsia="zh-CN"/>
        </w:rPr>
        <w:t xml:space="preserve">  </w:t>
      </w:r>
      <w:r>
        <w:rPr>
          <w:b w:val="0"/>
          <w:bCs w:val="0"/>
          <w:sz w:val="32"/>
          <w:szCs w:val="32"/>
          <w:lang w:eastAsia="zh-CN"/>
        </w:rPr>
        <w:t>启动“熔断”机制后，赛事</w:t>
      </w:r>
      <w:r>
        <w:rPr>
          <w:rFonts w:hint="eastAsia"/>
          <w:b w:val="0"/>
          <w:bCs w:val="0"/>
          <w:sz w:val="32"/>
          <w:szCs w:val="32"/>
          <w:lang w:eastAsia="zh-CN"/>
        </w:rPr>
        <w:t>举办方</w:t>
      </w:r>
      <w:r>
        <w:rPr>
          <w:b w:val="0"/>
          <w:bCs w:val="0"/>
          <w:sz w:val="32"/>
          <w:szCs w:val="32"/>
          <w:lang w:eastAsia="zh-CN"/>
        </w:rPr>
        <w:t>和地方</w:t>
      </w:r>
      <w:r>
        <w:rPr>
          <w:rFonts w:hint="eastAsia"/>
          <w:b w:val="0"/>
          <w:bCs w:val="0"/>
          <w:sz w:val="32"/>
          <w:szCs w:val="32"/>
          <w:lang w:eastAsia="zh-CN"/>
        </w:rPr>
        <w:t>有关</w:t>
      </w:r>
      <w:r>
        <w:rPr>
          <w:b w:val="0"/>
          <w:bCs w:val="0"/>
          <w:sz w:val="32"/>
          <w:szCs w:val="32"/>
          <w:lang w:eastAsia="zh-CN"/>
        </w:rPr>
        <w:t>部门应当根据赛事活动场地、规模、环境等</w:t>
      </w:r>
      <w:r>
        <w:rPr>
          <w:rFonts w:hint="eastAsia"/>
          <w:b w:val="0"/>
          <w:bCs w:val="0"/>
          <w:sz w:val="32"/>
          <w:szCs w:val="32"/>
          <w:lang w:eastAsia="zh-CN"/>
        </w:rPr>
        <w:t>情况</w:t>
      </w:r>
      <w:r>
        <w:rPr>
          <w:b w:val="0"/>
          <w:bCs w:val="0"/>
          <w:sz w:val="32"/>
          <w:szCs w:val="32"/>
          <w:lang w:eastAsia="zh-CN"/>
        </w:rPr>
        <w:t>，在</w:t>
      </w:r>
      <w:r>
        <w:rPr>
          <w:rFonts w:hint="eastAsia"/>
          <w:b w:val="0"/>
          <w:bCs w:val="0"/>
          <w:sz w:val="32"/>
          <w:szCs w:val="32"/>
          <w:lang w:eastAsia="zh-CN"/>
        </w:rPr>
        <w:t>当地</w:t>
      </w:r>
      <w:r>
        <w:rPr>
          <w:b w:val="0"/>
          <w:bCs w:val="0"/>
          <w:sz w:val="32"/>
          <w:szCs w:val="32"/>
          <w:lang w:eastAsia="zh-CN"/>
        </w:rPr>
        <w:t>政府的领导下，会同公安、卫生健康、应急管理、市场监管等部门做好应急处置工作，疏散、撤离并妥善安置和救助现场人员。出现人员伤亡的，应立即组织救援和救治，做好后续处置工作，并采取措施防范次生灾害和衍生事件发生。</w:t>
      </w:r>
      <w:r>
        <w:rPr>
          <w:rFonts w:hint="eastAsia"/>
          <w:b w:val="0"/>
          <w:bCs w:val="0"/>
          <w:sz w:val="32"/>
          <w:szCs w:val="32"/>
          <w:lang w:eastAsia="zh-CN"/>
        </w:rPr>
        <w:t>赛事举办方</w:t>
      </w:r>
      <w:r>
        <w:rPr>
          <w:b w:val="0"/>
          <w:bCs w:val="0"/>
          <w:sz w:val="32"/>
          <w:szCs w:val="32"/>
          <w:lang w:eastAsia="zh-CN"/>
        </w:rPr>
        <w:t>要及时通过官方途径发布赛事活动动态信息，</w:t>
      </w:r>
      <w:r>
        <w:rPr>
          <w:rFonts w:hint="eastAsia"/>
          <w:b w:val="0"/>
          <w:bCs w:val="0"/>
          <w:sz w:val="32"/>
          <w:szCs w:val="32"/>
          <w:lang w:eastAsia="zh-CN"/>
        </w:rPr>
        <w:t>调整赛程赛历，</w:t>
      </w:r>
      <w:r>
        <w:rPr>
          <w:b w:val="0"/>
          <w:bCs w:val="0"/>
          <w:sz w:val="32"/>
          <w:szCs w:val="32"/>
          <w:lang w:eastAsia="zh-CN"/>
        </w:rPr>
        <w:t xml:space="preserve">做好舆情引导。 </w:t>
      </w:r>
    </w:p>
    <w:p w14:paraId="6BE1490D">
      <w:pPr>
        <w:widowControl w:val="0"/>
        <w:spacing w:before="0" w:line="520" w:lineRule="exact"/>
        <w:ind w:firstLine="562"/>
        <w:rPr>
          <w:rFonts w:asciiTheme="majorEastAsia" w:hAnsiTheme="majorEastAsia" w:eastAsiaTheme="majorEastAsia"/>
          <w:sz w:val="36"/>
          <w:szCs w:val="36"/>
        </w:rPr>
      </w:pPr>
    </w:p>
    <w:p w14:paraId="0735D0C1">
      <w:pPr>
        <w:widowControl w:val="0"/>
        <w:spacing w:before="0" w:line="240" w:lineRule="auto"/>
        <w:rPr>
          <w:rFonts w:asciiTheme="majorEastAsia" w:hAnsiTheme="majorEastAsia" w:eastAsiaTheme="majorEastAsia"/>
        </w:rPr>
      </w:pPr>
      <w:r>
        <w:rPr>
          <w:rFonts w:hint="eastAsia" w:asciiTheme="majorEastAsia" w:hAnsiTheme="majorEastAsia" w:eastAsiaTheme="majorEastAsia"/>
        </w:rPr>
        <w:t>第七章  奖励和处罚</w:t>
      </w:r>
    </w:p>
    <w:p w14:paraId="71BE7242">
      <w:pPr>
        <w:widowControl w:val="0"/>
        <w:spacing w:before="0" w:line="520" w:lineRule="exact"/>
        <w:ind w:firstLine="640" w:firstLineChars="200"/>
        <w:jc w:val="both"/>
        <w:rPr>
          <w:rFonts w:ascii="黑体" w:hAnsi="黑体" w:eastAsia="黑体"/>
          <w:b w:val="0"/>
          <w:bCs w:val="0"/>
        </w:rPr>
      </w:pPr>
    </w:p>
    <w:p w14:paraId="217CCF2C">
      <w:pPr>
        <w:pStyle w:val="3"/>
        <w:widowControl w:val="0"/>
        <w:spacing w:before="0" w:line="520" w:lineRule="exact"/>
        <w:ind w:firstLine="640" w:firstLineChars="200"/>
        <w:jc w:val="both"/>
        <w:rPr>
          <w:b w:val="0"/>
          <w:bCs w:val="0"/>
          <w:sz w:val="32"/>
          <w:szCs w:val="32"/>
          <w:lang w:eastAsia="zh-CN"/>
        </w:rPr>
      </w:pPr>
      <w:r>
        <w:rPr>
          <w:rFonts w:hint="eastAsia" w:ascii="黑体" w:hAnsi="黑体" w:eastAsia="黑体" w:cs="黑体"/>
          <w:b w:val="0"/>
          <w:bCs w:val="0"/>
          <w:sz w:val="32"/>
          <w:szCs w:val="32"/>
          <w:lang w:eastAsia="zh-CN"/>
        </w:rPr>
        <w:t>第三十三条</w:t>
      </w:r>
      <w:r>
        <w:rPr>
          <w:rFonts w:hint="eastAsia" w:cs="黑体" w:asciiTheme="minorEastAsia" w:hAnsiTheme="minorEastAsia" w:eastAsiaTheme="minorEastAsia"/>
          <w:b w:val="0"/>
          <w:bCs w:val="0"/>
          <w:sz w:val="28"/>
          <w:szCs w:val="28"/>
          <w:lang w:eastAsia="zh-CN"/>
        </w:rPr>
        <w:t xml:space="preserve"> </w:t>
      </w:r>
      <w:r>
        <w:rPr>
          <w:rFonts w:hint="eastAsia" w:cs="黑体"/>
          <w:b w:val="0"/>
          <w:bCs w:val="0"/>
          <w:sz w:val="32"/>
          <w:szCs w:val="32"/>
          <w:lang w:eastAsia="zh-CN"/>
        </w:rPr>
        <w:t xml:space="preserve"> </w:t>
      </w:r>
      <w:r>
        <w:rPr>
          <w:rFonts w:hint="eastAsia"/>
          <w:b w:val="0"/>
          <w:bCs w:val="0"/>
          <w:sz w:val="32"/>
          <w:szCs w:val="32"/>
          <w:lang w:eastAsia="zh-CN"/>
        </w:rPr>
        <w:t>对</w:t>
      </w:r>
      <w:r>
        <w:rPr>
          <w:b w:val="0"/>
          <w:bCs w:val="0"/>
          <w:sz w:val="32"/>
          <w:szCs w:val="32"/>
          <w:lang w:eastAsia="zh-CN"/>
        </w:rPr>
        <w:t>赛事</w:t>
      </w:r>
      <w:r>
        <w:rPr>
          <w:rFonts w:hint="eastAsia"/>
          <w:b w:val="0"/>
          <w:bCs w:val="0"/>
          <w:sz w:val="32"/>
          <w:szCs w:val="32"/>
          <w:lang w:eastAsia="zh-CN"/>
        </w:rPr>
        <w:t>举办方、</w:t>
      </w:r>
      <w:r>
        <w:rPr>
          <w:rFonts w:hint="eastAsia"/>
          <w:b w:val="0"/>
          <w:bCs w:val="0"/>
          <w:sz w:val="32"/>
          <w:szCs w:val="32"/>
          <w:lang w:val="en-US" w:eastAsia="zh-CN"/>
        </w:rPr>
        <w:t>会员协会</w:t>
      </w:r>
      <w:r>
        <w:rPr>
          <w:b w:val="0"/>
          <w:bCs w:val="0"/>
          <w:sz w:val="32"/>
          <w:szCs w:val="32"/>
          <w:lang w:eastAsia="zh-CN"/>
        </w:rPr>
        <w:t>和地方</w:t>
      </w:r>
      <w:r>
        <w:rPr>
          <w:rFonts w:hint="eastAsia"/>
          <w:b w:val="0"/>
          <w:bCs w:val="0"/>
          <w:sz w:val="32"/>
          <w:szCs w:val="32"/>
          <w:lang w:eastAsia="zh-CN"/>
        </w:rPr>
        <w:t>有关</w:t>
      </w:r>
      <w:r>
        <w:rPr>
          <w:b w:val="0"/>
          <w:bCs w:val="0"/>
          <w:sz w:val="32"/>
          <w:szCs w:val="32"/>
          <w:lang w:eastAsia="zh-CN"/>
        </w:rPr>
        <w:t>部门</w:t>
      </w:r>
      <w:r>
        <w:rPr>
          <w:rFonts w:hint="eastAsia"/>
          <w:b w:val="0"/>
          <w:bCs w:val="0"/>
          <w:sz w:val="32"/>
          <w:szCs w:val="32"/>
          <w:lang w:eastAsia="zh-CN"/>
        </w:rPr>
        <w:t>在赛事活动举办中，认真落实中央领导批示和全国体育系统安全生产工作精神，真抓真防，落实“三管三必须”责任，扛起防范化解重大安全风险的单位和个人，中国篮协和赛事主管单位将给与奖励和表彰，作为优秀赛区评选工作的重要指标，采用安全工作“零容忍”和一票否决制。</w:t>
      </w:r>
    </w:p>
    <w:p w14:paraId="03FCFC62">
      <w:pPr>
        <w:pStyle w:val="3"/>
        <w:spacing w:before="0" w:line="520" w:lineRule="exact"/>
        <w:ind w:firstLine="640" w:firstLineChars="200"/>
        <w:jc w:val="both"/>
        <w:rPr>
          <w:rFonts w:hint="eastAsia"/>
          <w:b w:val="0"/>
          <w:bCs w:val="0"/>
          <w:sz w:val="32"/>
          <w:szCs w:val="32"/>
          <w:lang w:eastAsia="zh-CN"/>
        </w:rPr>
      </w:pPr>
      <w:r>
        <w:rPr>
          <w:rFonts w:hint="eastAsia" w:ascii="黑体" w:hAnsi="黑体" w:eastAsia="黑体" w:cs="黑体"/>
          <w:b w:val="0"/>
          <w:bCs w:val="0"/>
          <w:sz w:val="32"/>
          <w:szCs w:val="32"/>
          <w:lang w:eastAsia="zh-CN"/>
        </w:rPr>
        <w:t>第三十四条</w:t>
      </w:r>
      <w:r>
        <w:rPr>
          <w:rFonts w:hint="eastAsia" w:cs="黑体" w:asciiTheme="minorEastAsia" w:hAnsiTheme="minorEastAsia" w:eastAsiaTheme="minorEastAsia"/>
          <w:b w:val="0"/>
          <w:bCs w:val="0"/>
          <w:sz w:val="28"/>
          <w:szCs w:val="28"/>
          <w:lang w:eastAsia="zh-CN"/>
        </w:rPr>
        <w:t xml:space="preserve"> </w:t>
      </w:r>
      <w:r>
        <w:rPr>
          <w:rFonts w:cs="黑体" w:asciiTheme="minorEastAsia" w:hAnsiTheme="minorEastAsia" w:eastAsiaTheme="minorEastAsia"/>
          <w:b w:val="0"/>
          <w:bCs w:val="0"/>
          <w:spacing w:val="3"/>
          <w:sz w:val="28"/>
          <w:szCs w:val="28"/>
          <w:lang w:eastAsia="zh-CN"/>
        </w:rPr>
        <w:t xml:space="preserve"> </w:t>
      </w:r>
      <w:r>
        <w:rPr>
          <w:b w:val="0"/>
          <w:bCs w:val="0"/>
          <w:spacing w:val="3"/>
          <w:sz w:val="32"/>
          <w:szCs w:val="32"/>
          <w:lang w:eastAsia="zh-CN"/>
        </w:rPr>
        <w:t>赛事</w:t>
      </w:r>
      <w:r>
        <w:rPr>
          <w:rFonts w:hint="eastAsia"/>
          <w:b w:val="0"/>
          <w:bCs w:val="0"/>
          <w:spacing w:val="3"/>
          <w:sz w:val="32"/>
          <w:szCs w:val="32"/>
          <w:lang w:eastAsia="zh-CN"/>
        </w:rPr>
        <w:t>举办</w:t>
      </w:r>
      <w:r>
        <w:rPr>
          <w:b w:val="0"/>
          <w:bCs w:val="0"/>
          <w:spacing w:val="3"/>
          <w:sz w:val="32"/>
          <w:szCs w:val="32"/>
          <w:lang w:eastAsia="zh-CN"/>
        </w:rPr>
        <w:t>方应在比赛结束后，完成</w:t>
      </w:r>
      <w:r>
        <w:rPr>
          <w:rFonts w:hint="eastAsia"/>
          <w:b w:val="0"/>
          <w:bCs w:val="0"/>
          <w:spacing w:val="3"/>
          <w:sz w:val="32"/>
          <w:szCs w:val="32"/>
          <w:lang w:eastAsia="zh-CN"/>
        </w:rPr>
        <w:t>安全</w:t>
      </w:r>
      <w:r>
        <w:rPr>
          <w:b w:val="0"/>
          <w:bCs w:val="0"/>
          <w:spacing w:val="4"/>
          <w:sz w:val="32"/>
          <w:szCs w:val="32"/>
          <w:lang w:eastAsia="zh-CN"/>
        </w:rPr>
        <w:t>工作总结报</w:t>
      </w:r>
      <w:r>
        <w:rPr>
          <w:rFonts w:hint="eastAsia"/>
          <w:b w:val="0"/>
          <w:bCs w:val="0"/>
          <w:sz w:val="32"/>
          <w:szCs w:val="32"/>
          <w:lang w:eastAsia="zh-CN"/>
        </w:rPr>
        <w:t>告，并对其中涉及到的失职、渎职及违反相关规定的行为，依据国家体育总局和体育行政主管部门相关规定，根据《中国篮球协会纪律准则及处罚办法》或赛事有关规定，自查自纠进行严肃处理。</w:t>
      </w:r>
    </w:p>
    <w:p w14:paraId="7748D434">
      <w:pPr>
        <w:pStyle w:val="3"/>
        <w:spacing w:before="0" w:line="520" w:lineRule="exact"/>
        <w:ind w:firstLine="640" w:firstLineChars="200"/>
        <w:jc w:val="both"/>
        <w:rPr>
          <w:b w:val="0"/>
          <w:bCs w:val="0"/>
          <w:sz w:val="32"/>
          <w:szCs w:val="32"/>
          <w:lang w:eastAsia="zh-CN"/>
        </w:rPr>
      </w:pPr>
      <w:r>
        <w:rPr>
          <w:rFonts w:hint="eastAsia"/>
          <w:b w:val="0"/>
          <w:bCs w:val="0"/>
          <w:sz w:val="32"/>
          <w:szCs w:val="32"/>
          <w:lang w:eastAsia="zh-CN"/>
        </w:rPr>
        <w:t>涉及较大安全事故和重大舆情影响的，采用挂牌督办、提级调查，由上级管理单位进行严肃追责问责处理。发生重大伤亡事故、治安案件或者造成其他严重后果，</w:t>
      </w:r>
      <w:r>
        <w:rPr>
          <w:b w:val="0"/>
          <w:bCs w:val="0"/>
          <w:sz w:val="32"/>
          <w:szCs w:val="32"/>
          <w:lang w:eastAsia="zh-CN"/>
        </w:rPr>
        <w:t>涉嫌</w:t>
      </w:r>
      <w:r>
        <w:rPr>
          <w:rFonts w:hint="eastAsia"/>
          <w:b w:val="0"/>
          <w:bCs w:val="0"/>
          <w:sz w:val="32"/>
          <w:szCs w:val="32"/>
          <w:lang w:eastAsia="zh-CN"/>
        </w:rPr>
        <w:t>违法</w:t>
      </w:r>
      <w:r>
        <w:rPr>
          <w:b w:val="0"/>
          <w:bCs w:val="0"/>
          <w:sz w:val="32"/>
          <w:szCs w:val="32"/>
          <w:lang w:eastAsia="zh-CN"/>
        </w:rPr>
        <w:t>犯罪的，依法移送司法机关处理</w:t>
      </w:r>
      <w:r>
        <w:rPr>
          <w:rFonts w:hint="eastAsia"/>
          <w:b w:val="0"/>
          <w:bCs w:val="0"/>
          <w:sz w:val="32"/>
          <w:szCs w:val="32"/>
          <w:lang w:eastAsia="zh-CN"/>
        </w:rPr>
        <w:t>，依法追究刑事责任。</w:t>
      </w:r>
    </w:p>
    <w:p w14:paraId="3724BD6D">
      <w:pPr>
        <w:pStyle w:val="3"/>
        <w:spacing w:before="0" w:line="520" w:lineRule="exact"/>
        <w:ind w:firstLine="560" w:firstLineChars="200"/>
        <w:jc w:val="both"/>
        <w:rPr>
          <w:rFonts w:asciiTheme="minorEastAsia" w:hAnsiTheme="minorEastAsia" w:eastAsiaTheme="minorEastAsia"/>
          <w:b w:val="0"/>
          <w:bCs w:val="0"/>
          <w:sz w:val="28"/>
          <w:szCs w:val="28"/>
          <w:lang w:eastAsia="zh-CN"/>
        </w:rPr>
      </w:pPr>
    </w:p>
    <w:p w14:paraId="5DF9AF43">
      <w:pPr>
        <w:spacing w:before="0" w:line="240" w:lineRule="auto"/>
        <w:rPr>
          <w:rFonts w:asciiTheme="majorEastAsia" w:hAnsiTheme="majorEastAsia" w:eastAsiaTheme="majorEastAsia"/>
        </w:rPr>
      </w:pPr>
      <w:r>
        <w:rPr>
          <w:rFonts w:hint="eastAsia" w:asciiTheme="majorEastAsia" w:hAnsiTheme="majorEastAsia" w:eastAsiaTheme="majorEastAsia"/>
        </w:rPr>
        <w:t>第八章 附 则</w:t>
      </w:r>
    </w:p>
    <w:p w14:paraId="0A5866D2">
      <w:pPr>
        <w:spacing w:before="0" w:line="520" w:lineRule="exact"/>
        <w:ind w:firstLine="560" w:firstLineChars="200"/>
        <w:jc w:val="both"/>
        <w:rPr>
          <w:rFonts w:asciiTheme="minorEastAsia" w:hAnsiTheme="minorEastAsia" w:eastAsiaTheme="minorEastAsia"/>
          <w:b w:val="0"/>
          <w:bCs w:val="0"/>
          <w:sz w:val="28"/>
          <w:szCs w:val="28"/>
        </w:rPr>
      </w:pPr>
    </w:p>
    <w:p w14:paraId="14AA5E48">
      <w:pPr>
        <w:pStyle w:val="3"/>
        <w:spacing w:before="0" w:line="520" w:lineRule="exact"/>
        <w:ind w:firstLine="640" w:firstLineChars="200"/>
        <w:jc w:val="both"/>
        <w:rPr>
          <w:rFonts w:asciiTheme="minorEastAsia" w:hAnsiTheme="minorEastAsia" w:eastAsiaTheme="minorEastAsia"/>
          <w:b w:val="0"/>
          <w:bCs w:val="0"/>
          <w:sz w:val="28"/>
          <w:szCs w:val="28"/>
          <w:lang w:eastAsia="zh-CN"/>
        </w:rPr>
      </w:pPr>
      <w:r>
        <w:rPr>
          <w:rFonts w:ascii="黑体" w:hAnsi="黑体" w:eastAsia="黑体" w:cs="黑体"/>
          <w:b w:val="0"/>
          <w:bCs w:val="0"/>
          <w:sz w:val="32"/>
          <w:szCs w:val="32"/>
          <w:lang w:eastAsia="zh-CN"/>
        </w:rPr>
        <w:t>第三十</w:t>
      </w:r>
      <w:r>
        <w:rPr>
          <w:rFonts w:hint="eastAsia" w:ascii="黑体" w:hAnsi="黑体" w:eastAsia="黑体" w:cs="黑体"/>
          <w:b w:val="0"/>
          <w:bCs w:val="0"/>
          <w:sz w:val="32"/>
          <w:szCs w:val="32"/>
          <w:lang w:eastAsia="zh-CN"/>
        </w:rPr>
        <w:t>五</w:t>
      </w:r>
      <w:r>
        <w:rPr>
          <w:rFonts w:ascii="黑体" w:hAnsi="黑体" w:eastAsia="黑体" w:cs="黑体"/>
          <w:b w:val="0"/>
          <w:bCs w:val="0"/>
          <w:sz w:val="32"/>
          <w:szCs w:val="32"/>
          <w:lang w:eastAsia="zh-CN"/>
        </w:rPr>
        <w:t>条</w:t>
      </w:r>
      <w:r>
        <w:rPr>
          <w:rFonts w:hint="eastAsia" w:cs="黑体" w:asciiTheme="minorEastAsia" w:hAnsiTheme="minorEastAsia" w:eastAsiaTheme="minorEastAsia"/>
          <w:b w:val="0"/>
          <w:bCs w:val="0"/>
          <w:sz w:val="28"/>
          <w:szCs w:val="28"/>
          <w:lang w:eastAsia="zh-CN"/>
        </w:rPr>
        <w:t xml:space="preserve">  </w:t>
      </w:r>
      <w:r>
        <w:rPr>
          <w:b w:val="0"/>
          <w:bCs w:val="0"/>
          <w:sz w:val="32"/>
          <w:szCs w:val="32"/>
          <w:lang w:eastAsia="zh-CN"/>
        </w:rPr>
        <w:t>本规定为中国</w:t>
      </w:r>
      <w:r>
        <w:rPr>
          <w:rFonts w:hint="eastAsia"/>
          <w:b w:val="0"/>
          <w:bCs w:val="0"/>
          <w:sz w:val="32"/>
          <w:szCs w:val="32"/>
          <w:lang w:eastAsia="zh-CN"/>
        </w:rPr>
        <w:t>篮</w:t>
      </w:r>
      <w:r>
        <w:rPr>
          <w:b w:val="0"/>
          <w:bCs w:val="0"/>
          <w:sz w:val="32"/>
          <w:szCs w:val="32"/>
          <w:lang w:eastAsia="zh-CN"/>
        </w:rPr>
        <w:t>协赛事安全管理工作的基本要求，各级各类赛事应根据本规定的相关内容，针对不同赛事特点，完善各类赛事竞赛规程、</w:t>
      </w:r>
      <w:r>
        <w:rPr>
          <w:rFonts w:hint="eastAsia"/>
          <w:b w:val="0"/>
          <w:bCs w:val="0"/>
          <w:sz w:val="32"/>
          <w:szCs w:val="32"/>
          <w:lang w:eastAsia="zh-CN"/>
        </w:rPr>
        <w:t>联赛手册、</w:t>
      </w:r>
      <w:r>
        <w:rPr>
          <w:b w:val="0"/>
          <w:bCs w:val="0"/>
          <w:sz w:val="32"/>
          <w:szCs w:val="32"/>
          <w:lang w:eastAsia="zh-CN"/>
        </w:rPr>
        <w:t>办赛指南及参赛指引等文件</w:t>
      </w:r>
      <w:r>
        <w:rPr>
          <w:rFonts w:hint="eastAsia"/>
          <w:b w:val="0"/>
          <w:bCs w:val="0"/>
          <w:sz w:val="32"/>
          <w:szCs w:val="32"/>
          <w:lang w:eastAsia="zh-CN"/>
        </w:rPr>
        <w:t>，按照“安全第一，预防为主”原则，拟定相应安全应急工作和风险防控预案等</w:t>
      </w:r>
      <w:r>
        <w:rPr>
          <w:rFonts w:asciiTheme="minorEastAsia" w:hAnsiTheme="minorEastAsia" w:eastAsiaTheme="minorEastAsia"/>
          <w:b w:val="0"/>
          <w:bCs w:val="0"/>
          <w:sz w:val="28"/>
          <w:szCs w:val="28"/>
          <w:lang w:eastAsia="zh-CN"/>
        </w:rPr>
        <w:t>。</w:t>
      </w:r>
    </w:p>
    <w:p w14:paraId="2E42B335">
      <w:pPr>
        <w:pStyle w:val="3"/>
        <w:spacing w:before="0" w:line="520" w:lineRule="exact"/>
        <w:ind w:firstLine="640" w:firstLineChars="200"/>
        <w:jc w:val="both"/>
        <w:rPr>
          <w:rFonts w:asciiTheme="minorEastAsia" w:hAnsiTheme="minorEastAsia" w:eastAsiaTheme="minorEastAsia"/>
          <w:b w:val="0"/>
          <w:bCs w:val="0"/>
          <w:sz w:val="28"/>
          <w:szCs w:val="28"/>
          <w:lang w:eastAsia="zh-CN"/>
        </w:rPr>
      </w:pPr>
      <w:r>
        <w:rPr>
          <w:rFonts w:ascii="黑体" w:hAnsi="黑体" w:eastAsia="黑体" w:cs="黑体"/>
          <w:b w:val="0"/>
          <w:bCs w:val="0"/>
          <w:sz w:val="32"/>
          <w:szCs w:val="32"/>
          <w:lang w:eastAsia="zh-CN"/>
        </w:rPr>
        <w:t>第三十</w:t>
      </w:r>
      <w:r>
        <w:rPr>
          <w:rFonts w:hint="eastAsia" w:ascii="黑体" w:hAnsi="黑体" w:eastAsia="黑体" w:cs="黑体"/>
          <w:b w:val="0"/>
          <w:bCs w:val="0"/>
          <w:sz w:val="32"/>
          <w:szCs w:val="32"/>
          <w:lang w:eastAsia="zh-CN"/>
        </w:rPr>
        <w:t>六</w:t>
      </w:r>
      <w:r>
        <w:rPr>
          <w:rFonts w:ascii="黑体" w:hAnsi="黑体" w:eastAsia="黑体" w:cs="黑体"/>
          <w:b w:val="0"/>
          <w:bCs w:val="0"/>
          <w:sz w:val="32"/>
          <w:szCs w:val="32"/>
          <w:lang w:eastAsia="zh-CN"/>
        </w:rPr>
        <w:t>条</w:t>
      </w:r>
      <w:r>
        <w:rPr>
          <w:rFonts w:hint="eastAsia" w:cs="黑体" w:asciiTheme="minorEastAsia" w:hAnsiTheme="minorEastAsia" w:eastAsiaTheme="minorEastAsia"/>
          <w:b w:val="0"/>
          <w:bCs w:val="0"/>
          <w:sz w:val="28"/>
          <w:szCs w:val="28"/>
          <w:lang w:eastAsia="zh-CN"/>
        </w:rPr>
        <w:t xml:space="preserve">  </w:t>
      </w:r>
      <w:r>
        <w:rPr>
          <w:b w:val="0"/>
          <w:bCs w:val="0"/>
          <w:sz w:val="32"/>
          <w:szCs w:val="32"/>
          <w:lang w:eastAsia="zh-CN"/>
        </w:rPr>
        <w:t>本规定由中国</w:t>
      </w:r>
      <w:r>
        <w:rPr>
          <w:rFonts w:hint="eastAsia"/>
          <w:b w:val="0"/>
          <w:bCs w:val="0"/>
          <w:sz w:val="32"/>
          <w:szCs w:val="32"/>
          <w:lang w:eastAsia="zh-CN"/>
        </w:rPr>
        <w:t>篮</w:t>
      </w:r>
      <w:r>
        <w:rPr>
          <w:b w:val="0"/>
          <w:bCs w:val="0"/>
          <w:sz w:val="32"/>
          <w:szCs w:val="32"/>
          <w:lang w:eastAsia="zh-CN"/>
        </w:rPr>
        <w:t>协负责解释</w:t>
      </w:r>
      <w:r>
        <w:rPr>
          <w:rFonts w:hint="eastAsia"/>
          <w:b w:val="0"/>
          <w:bCs w:val="0"/>
          <w:sz w:val="32"/>
          <w:szCs w:val="32"/>
          <w:lang w:eastAsia="zh-CN"/>
        </w:rPr>
        <w:t>和修改</w:t>
      </w:r>
      <w:r>
        <w:rPr>
          <w:b w:val="0"/>
          <w:bCs w:val="0"/>
          <w:sz w:val="32"/>
          <w:szCs w:val="32"/>
          <w:lang w:eastAsia="zh-CN"/>
        </w:rPr>
        <w:t>。</w:t>
      </w:r>
    </w:p>
    <w:p w14:paraId="72A92FBA">
      <w:pPr>
        <w:pStyle w:val="3"/>
        <w:spacing w:before="0" w:line="520" w:lineRule="exact"/>
        <w:ind w:firstLine="640" w:firstLineChars="200"/>
        <w:jc w:val="both"/>
        <w:rPr>
          <w:b w:val="0"/>
          <w:bCs w:val="0"/>
          <w:sz w:val="32"/>
          <w:szCs w:val="32"/>
          <w:lang w:eastAsia="zh-CN"/>
        </w:rPr>
      </w:pPr>
      <w:r>
        <w:rPr>
          <w:rFonts w:ascii="黑体" w:hAnsi="黑体" w:eastAsia="黑体" w:cs="黑体"/>
          <w:b w:val="0"/>
          <w:bCs w:val="0"/>
          <w:sz w:val="32"/>
          <w:szCs w:val="32"/>
          <w:lang w:eastAsia="zh-CN"/>
        </w:rPr>
        <w:t>第三十</w:t>
      </w:r>
      <w:r>
        <w:rPr>
          <w:rFonts w:hint="eastAsia" w:ascii="黑体" w:hAnsi="黑体" w:eastAsia="黑体" w:cs="黑体"/>
          <w:b w:val="0"/>
          <w:bCs w:val="0"/>
          <w:sz w:val="32"/>
          <w:szCs w:val="32"/>
          <w:lang w:eastAsia="zh-CN"/>
        </w:rPr>
        <w:t>七</w:t>
      </w:r>
      <w:r>
        <w:rPr>
          <w:rFonts w:ascii="黑体" w:hAnsi="黑体" w:eastAsia="黑体" w:cs="黑体"/>
          <w:b w:val="0"/>
          <w:bCs w:val="0"/>
          <w:sz w:val="32"/>
          <w:szCs w:val="32"/>
          <w:lang w:eastAsia="zh-CN"/>
        </w:rPr>
        <w:t>条</w:t>
      </w:r>
      <w:r>
        <w:rPr>
          <w:rFonts w:hint="eastAsia" w:cs="黑体" w:asciiTheme="minorEastAsia" w:hAnsiTheme="minorEastAsia" w:eastAsiaTheme="minorEastAsia"/>
          <w:b w:val="0"/>
          <w:bCs w:val="0"/>
          <w:sz w:val="28"/>
          <w:szCs w:val="28"/>
          <w:lang w:eastAsia="zh-CN"/>
        </w:rPr>
        <w:t xml:space="preserve">  </w:t>
      </w:r>
      <w:r>
        <w:rPr>
          <w:b w:val="0"/>
          <w:bCs w:val="0"/>
          <w:sz w:val="32"/>
          <w:szCs w:val="32"/>
          <w:lang w:eastAsia="zh-CN"/>
        </w:rPr>
        <w:t>本规定自公布之日起生效。</w:t>
      </w:r>
    </w:p>
    <w:p w14:paraId="7D21A0E0">
      <w:pPr>
        <w:pStyle w:val="3"/>
        <w:spacing w:before="0" w:line="520" w:lineRule="exact"/>
        <w:ind w:firstLine="640" w:firstLineChars="200"/>
        <w:jc w:val="both"/>
        <w:rPr>
          <w:b w:val="0"/>
          <w:sz w:val="32"/>
          <w:szCs w:val="32"/>
          <w:lang w:eastAsia="zh-CN"/>
        </w:rPr>
      </w:pPr>
    </w:p>
    <w:p w14:paraId="3A49735C">
      <w:pPr>
        <w:pStyle w:val="3"/>
        <w:spacing w:before="0" w:line="520" w:lineRule="exact"/>
        <w:ind w:firstLine="640" w:firstLineChars="200"/>
        <w:jc w:val="both"/>
        <w:rPr>
          <w:b w:val="0"/>
          <w:sz w:val="32"/>
          <w:szCs w:val="32"/>
          <w:lang w:eastAsia="zh-CN"/>
        </w:rPr>
        <w:sectPr>
          <w:footerReference r:id="rId5" w:type="default"/>
          <w:footerReference r:id="rId6" w:type="even"/>
          <w:pgSz w:w="11900" w:h="16840"/>
          <w:pgMar w:top="1431" w:right="1235" w:bottom="1224" w:left="1700" w:header="0" w:footer="935" w:gutter="0"/>
          <w:cols w:space="720" w:num="1"/>
        </w:sectPr>
      </w:pPr>
    </w:p>
    <w:p w14:paraId="25BF6377">
      <w:pPr>
        <w:pStyle w:val="3"/>
        <w:spacing w:before="0" w:line="520" w:lineRule="exact"/>
        <w:jc w:val="both"/>
        <w:rPr>
          <w:b w:val="0"/>
          <w:sz w:val="32"/>
          <w:szCs w:val="32"/>
          <w:lang w:eastAsia="zh-CN"/>
        </w:rPr>
      </w:pPr>
      <w:r>
        <w:rPr>
          <w:rFonts w:hint="eastAsia"/>
          <w:b w:val="0"/>
          <w:sz w:val="32"/>
          <w:szCs w:val="32"/>
          <w:lang w:eastAsia="zh-CN"/>
        </w:rPr>
        <w:t>附件1</w:t>
      </w:r>
      <w:r>
        <w:rPr>
          <w:b w:val="0"/>
          <w:sz w:val="32"/>
          <w:szCs w:val="32"/>
          <w:lang w:eastAsia="zh-CN"/>
        </w:rPr>
        <w:t xml:space="preserve"> </w:t>
      </w:r>
    </w:p>
    <w:p w14:paraId="7C84A66D">
      <w:pPr>
        <w:pStyle w:val="3"/>
        <w:spacing w:before="0" w:line="520" w:lineRule="exact"/>
        <w:ind w:firstLine="1084" w:firstLineChars="300"/>
        <w:jc w:val="both"/>
        <w:rPr>
          <w:bCs w:val="0"/>
          <w:sz w:val="36"/>
          <w:szCs w:val="36"/>
          <w:lang w:eastAsia="zh-CN"/>
        </w:rPr>
      </w:pPr>
      <w:r>
        <w:rPr>
          <w:rFonts w:hint="eastAsia"/>
          <w:bCs w:val="0"/>
          <w:sz w:val="36"/>
          <w:szCs w:val="36"/>
          <w:lang w:eastAsia="zh-CN"/>
        </w:rPr>
        <w:t>体育赛事安全应执行的法律法规一览表</w:t>
      </w:r>
    </w:p>
    <w:p w14:paraId="3350BA01">
      <w:pPr>
        <w:pStyle w:val="3"/>
        <w:spacing w:before="0" w:line="520" w:lineRule="exact"/>
        <w:ind w:firstLine="1606" w:firstLineChars="500"/>
        <w:jc w:val="both"/>
        <w:rPr>
          <w:bCs w:val="0"/>
          <w:sz w:val="32"/>
          <w:szCs w:val="32"/>
          <w:lang w:eastAsia="zh-CN"/>
        </w:rPr>
      </w:pPr>
    </w:p>
    <w:tbl>
      <w:tblPr>
        <w:tblStyle w:val="10"/>
        <w:tblW w:w="9214" w:type="dxa"/>
        <w:tblInd w:w="-152" w:type="dxa"/>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Layout w:type="fixed"/>
        <w:tblCellMar>
          <w:top w:w="0" w:type="dxa"/>
          <w:left w:w="0" w:type="dxa"/>
          <w:bottom w:w="0" w:type="dxa"/>
          <w:right w:w="0" w:type="dxa"/>
        </w:tblCellMar>
      </w:tblPr>
      <w:tblGrid>
        <w:gridCol w:w="709"/>
        <w:gridCol w:w="3544"/>
        <w:gridCol w:w="851"/>
        <w:gridCol w:w="4110"/>
      </w:tblGrid>
      <w:tr w14:paraId="5CFCA886">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0" w:type="dxa"/>
            <w:bottom w:w="0" w:type="dxa"/>
            <w:right w:w="0" w:type="dxa"/>
          </w:tblCellMar>
        </w:tblPrEx>
        <w:trPr>
          <w:trHeight w:val="626" w:hRule="atLeast"/>
        </w:trPr>
        <w:tc>
          <w:tcPr>
            <w:tcW w:w="709" w:type="dxa"/>
            <w:shd w:val="clear" w:color="auto" w:fill="auto"/>
            <w:tcMar>
              <w:top w:w="72" w:type="dxa"/>
              <w:left w:w="144" w:type="dxa"/>
              <w:bottom w:w="72" w:type="dxa"/>
              <w:right w:w="144" w:type="dxa"/>
            </w:tcMar>
            <w:vAlign w:val="center"/>
          </w:tcPr>
          <w:p w14:paraId="73DD3101">
            <w:pPr>
              <w:kinsoku/>
              <w:autoSpaceDE/>
              <w:autoSpaceDN/>
              <w:adjustRightInd/>
              <w:snapToGrid/>
              <w:spacing w:before="0" w:line="240" w:lineRule="auto"/>
              <w:textAlignment w:val="auto"/>
              <w:rPr>
                <w:rFonts w:ascii="Arial" w:hAnsi="Arial" w:eastAsia="宋体" w:cs="Arial"/>
                <w:b w:val="0"/>
                <w:bCs w:val="0"/>
                <w:snapToGrid/>
                <w:color w:val="auto"/>
                <w:sz w:val="21"/>
                <w:szCs w:val="21"/>
              </w:rPr>
            </w:pPr>
            <w:r>
              <w:rPr>
                <w:rFonts w:hint="eastAsia" w:ascii="宋体" w:hAnsi="宋体" w:eastAsia="宋体" w:cs="Arial"/>
                <w:b w:val="0"/>
                <w:bCs w:val="0"/>
                <w:snapToGrid/>
                <w:color w:val="000000" w:themeColor="text1"/>
                <w:kern w:val="24"/>
                <w:sz w:val="21"/>
                <w:szCs w:val="21"/>
                <w14:textFill>
                  <w14:solidFill>
                    <w14:schemeClr w14:val="tx1"/>
                  </w14:solidFill>
                </w14:textFill>
              </w:rPr>
              <w:t>序号</w:t>
            </w:r>
          </w:p>
        </w:tc>
        <w:tc>
          <w:tcPr>
            <w:tcW w:w="3544" w:type="dxa"/>
            <w:shd w:val="clear" w:color="auto" w:fill="auto"/>
            <w:tcMar>
              <w:top w:w="72" w:type="dxa"/>
              <w:left w:w="144" w:type="dxa"/>
              <w:bottom w:w="72" w:type="dxa"/>
              <w:right w:w="144" w:type="dxa"/>
            </w:tcMar>
            <w:vAlign w:val="center"/>
          </w:tcPr>
          <w:p w14:paraId="524D0047">
            <w:pPr>
              <w:kinsoku/>
              <w:autoSpaceDE/>
              <w:autoSpaceDN/>
              <w:adjustRightInd/>
              <w:snapToGrid/>
              <w:spacing w:before="0" w:line="240" w:lineRule="auto"/>
              <w:textAlignment w:val="auto"/>
              <w:rPr>
                <w:rFonts w:ascii="Arial" w:hAnsi="Arial" w:eastAsia="宋体" w:cs="Arial"/>
                <w:b w:val="0"/>
                <w:bCs w:val="0"/>
                <w:snapToGrid/>
                <w:color w:val="auto"/>
                <w:sz w:val="21"/>
                <w:szCs w:val="21"/>
              </w:rPr>
            </w:pPr>
            <w:r>
              <w:rPr>
                <w:rFonts w:hint="eastAsia" w:ascii="宋体" w:hAnsi="宋体" w:eastAsia="宋体" w:cs="Arial"/>
                <w:b w:val="0"/>
                <w:bCs w:val="0"/>
                <w:snapToGrid/>
                <w:color w:val="000000" w:themeColor="text1"/>
                <w:kern w:val="24"/>
                <w:sz w:val="21"/>
                <w:szCs w:val="21"/>
                <w14:textFill>
                  <w14:solidFill>
                    <w14:schemeClr w14:val="tx1"/>
                  </w14:solidFill>
                </w14:textFill>
              </w:rPr>
              <w:t>文件名</w:t>
            </w:r>
          </w:p>
        </w:tc>
        <w:tc>
          <w:tcPr>
            <w:tcW w:w="851" w:type="dxa"/>
            <w:shd w:val="clear" w:color="auto" w:fill="auto"/>
            <w:tcMar>
              <w:top w:w="72" w:type="dxa"/>
              <w:left w:w="144" w:type="dxa"/>
              <w:bottom w:w="72" w:type="dxa"/>
              <w:right w:w="144" w:type="dxa"/>
            </w:tcMar>
            <w:vAlign w:val="center"/>
          </w:tcPr>
          <w:p w14:paraId="09AD7A06">
            <w:pPr>
              <w:kinsoku/>
              <w:autoSpaceDE/>
              <w:autoSpaceDN/>
              <w:adjustRightInd/>
              <w:snapToGrid/>
              <w:spacing w:before="0" w:line="240" w:lineRule="auto"/>
              <w:textAlignment w:val="auto"/>
              <w:rPr>
                <w:rFonts w:ascii="Arial" w:hAnsi="Arial" w:eastAsia="宋体" w:cs="Arial"/>
                <w:b w:val="0"/>
                <w:bCs w:val="0"/>
                <w:snapToGrid/>
                <w:color w:val="auto"/>
                <w:sz w:val="21"/>
                <w:szCs w:val="21"/>
              </w:rPr>
            </w:pPr>
            <w:r>
              <w:rPr>
                <w:rFonts w:hint="eastAsia" w:ascii="宋体" w:hAnsi="宋体" w:eastAsia="宋体" w:cs="Arial"/>
                <w:b w:val="0"/>
                <w:bCs w:val="0"/>
                <w:snapToGrid/>
                <w:color w:val="000000" w:themeColor="text1"/>
                <w:kern w:val="24"/>
                <w:sz w:val="21"/>
                <w:szCs w:val="21"/>
                <w14:textFill>
                  <w14:solidFill>
                    <w14:schemeClr w14:val="tx1"/>
                  </w14:solidFill>
                </w14:textFill>
              </w:rPr>
              <w:t>序号</w:t>
            </w:r>
          </w:p>
        </w:tc>
        <w:tc>
          <w:tcPr>
            <w:tcW w:w="4110" w:type="dxa"/>
            <w:shd w:val="clear" w:color="auto" w:fill="auto"/>
            <w:tcMar>
              <w:top w:w="72" w:type="dxa"/>
              <w:left w:w="144" w:type="dxa"/>
              <w:bottom w:w="72" w:type="dxa"/>
              <w:right w:w="144" w:type="dxa"/>
            </w:tcMar>
            <w:vAlign w:val="center"/>
          </w:tcPr>
          <w:p w14:paraId="45362887">
            <w:pPr>
              <w:kinsoku/>
              <w:autoSpaceDE/>
              <w:autoSpaceDN/>
              <w:adjustRightInd/>
              <w:snapToGrid/>
              <w:spacing w:before="0" w:line="240" w:lineRule="auto"/>
              <w:textAlignment w:val="auto"/>
              <w:rPr>
                <w:rFonts w:ascii="Arial" w:hAnsi="Arial" w:eastAsia="宋体" w:cs="Arial"/>
                <w:b w:val="0"/>
                <w:bCs w:val="0"/>
                <w:snapToGrid/>
                <w:color w:val="auto"/>
                <w:sz w:val="21"/>
                <w:szCs w:val="21"/>
              </w:rPr>
            </w:pPr>
            <w:r>
              <w:rPr>
                <w:rFonts w:hint="eastAsia" w:ascii="宋体" w:hAnsi="宋体" w:eastAsia="宋体" w:cs="Arial"/>
                <w:b w:val="0"/>
                <w:bCs w:val="0"/>
                <w:snapToGrid/>
                <w:color w:val="000000" w:themeColor="text1"/>
                <w:kern w:val="24"/>
                <w:sz w:val="21"/>
                <w:szCs w:val="21"/>
                <w14:textFill>
                  <w14:solidFill>
                    <w14:schemeClr w14:val="tx1"/>
                  </w14:solidFill>
                </w14:textFill>
              </w:rPr>
              <w:t>文件名</w:t>
            </w:r>
          </w:p>
        </w:tc>
      </w:tr>
      <w:tr w14:paraId="1E65863E">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0" w:type="dxa"/>
            <w:bottom w:w="0" w:type="dxa"/>
            <w:right w:w="0" w:type="dxa"/>
          </w:tblCellMar>
        </w:tblPrEx>
        <w:trPr>
          <w:trHeight w:val="626" w:hRule="atLeast"/>
        </w:trPr>
        <w:tc>
          <w:tcPr>
            <w:tcW w:w="709" w:type="dxa"/>
            <w:shd w:val="clear" w:color="auto" w:fill="auto"/>
            <w:tcMar>
              <w:top w:w="72" w:type="dxa"/>
              <w:left w:w="144" w:type="dxa"/>
              <w:bottom w:w="72" w:type="dxa"/>
              <w:right w:w="144" w:type="dxa"/>
            </w:tcMar>
            <w:vAlign w:val="center"/>
          </w:tcPr>
          <w:p w14:paraId="5C91C234">
            <w:pPr>
              <w:kinsoku/>
              <w:autoSpaceDE/>
              <w:autoSpaceDN/>
              <w:adjustRightInd/>
              <w:snapToGrid/>
              <w:spacing w:before="0" w:line="240" w:lineRule="auto"/>
              <w:textAlignment w:val="auto"/>
              <w:rPr>
                <w:rFonts w:ascii="Arial" w:hAnsi="Arial" w:eastAsia="宋体" w:cs="Arial"/>
                <w:b w:val="0"/>
                <w:bCs w:val="0"/>
                <w:snapToGrid/>
                <w:color w:val="auto"/>
                <w:sz w:val="21"/>
                <w:szCs w:val="21"/>
              </w:rPr>
            </w:pPr>
            <w:r>
              <w:rPr>
                <w:rFonts w:hint="eastAsia" w:ascii="宋体" w:hAnsi="宋体" w:eastAsia="宋体" w:cs="Arial"/>
                <w:b w:val="0"/>
                <w:bCs w:val="0"/>
                <w:snapToGrid/>
                <w:color w:val="000000" w:themeColor="text1"/>
                <w:kern w:val="24"/>
                <w:sz w:val="21"/>
                <w:szCs w:val="21"/>
                <w14:textFill>
                  <w14:solidFill>
                    <w14:schemeClr w14:val="tx1"/>
                  </w14:solidFill>
                </w14:textFill>
              </w:rPr>
              <w:t>1</w:t>
            </w:r>
          </w:p>
        </w:tc>
        <w:tc>
          <w:tcPr>
            <w:tcW w:w="3544" w:type="dxa"/>
            <w:shd w:val="clear" w:color="auto" w:fill="auto"/>
            <w:tcMar>
              <w:top w:w="72" w:type="dxa"/>
              <w:left w:w="144" w:type="dxa"/>
              <w:bottom w:w="72" w:type="dxa"/>
              <w:right w:w="144" w:type="dxa"/>
            </w:tcMar>
            <w:vAlign w:val="center"/>
          </w:tcPr>
          <w:p w14:paraId="0D2E197C">
            <w:pPr>
              <w:kinsoku/>
              <w:autoSpaceDE/>
              <w:autoSpaceDN/>
              <w:adjustRightInd/>
              <w:snapToGrid/>
              <w:spacing w:before="0" w:line="240" w:lineRule="auto"/>
              <w:textAlignment w:val="auto"/>
              <w:rPr>
                <w:rFonts w:ascii="Arial" w:hAnsi="Arial" w:eastAsia="宋体" w:cs="Arial"/>
                <w:b w:val="0"/>
                <w:bCs w:val="0"/>
                <w:snapToGrid/>
                <w:color w:val="auto"/>
                <w:sz w:val="21"/>
                <w:szCs w:val="21"/>
              </w:rPr>
            </w:pPr>
            <w:r>
              <w:rPr>
                <w:rFonts w:hint="eastAsia" w:ascii="宋体" w:hAnsi="宋体" w:eastAsia="宋体" w:cs="Arial"/>
                <w:b w:val="0"/>
                <w:bCs w:val="0"/>
                <w:snapToGrid/>
                <w:color w:val="000000" w:themeColor="text1"/>
                <w:kern w:val="24"/>
                <w:sz w:val="21"/>
                <w:szCs w:val="21"/>
                <w14:textFill>
                  <w14:solidFill>
                    <w14:schemeClr w14:val="tx1"/>
                  </w14:solidFill>
                </w14:textFill>
              </w:rPr>
              <w:t>《中华人民共和国安全生产法》</w:t>
            </w:r>
          </w:p>
        </w:tc>
        <w:tc>
          <w:tcPr>
            <w:tcW w:w="851" w:type="dxa"/>
            <w:shd w:val="clear" w:color="auto" w:fill="auto"/>
            <w:tcMar>
              <w:top w:w="72" w:type="dxa"/>
              <w:left w:w="144" w:type="dxa"/>
              <w:bottom w:w="72" w:type="dxa"/>
              <w:right w:w="144" w:type="dxa"/>
            </w:tcMar>
            <w:vAlign w:val="center"/>
          </w:tcPr>
          <w:p w14:paraId="06B2BEAB">
            <w:pPr>
              <w:kinsoku/>
              <w:autoSpaceDE/>
              <w:autoSpaceDN/>
              <w:adjustRightInd/>
              <w:snapToGrid/>
              <w:spacing w:before="0" w:line="240" w:lineRule="auto"/>
              <w:textAlignment w:val="auto"/>
              <w:rPr>
                <w:rFonts w:ascii="Arial" w:hAnsi="Arial" w:eastAsia="宋体" w:cs="Arial"/>
                <w:b w:val="0"/>
                <w:bCs w:val="0"/>
                <w:snapToGrid/>
                <w:color w:val="auto"/>
                <w:sz w:val="21"/>
                <w:szCs w:val="21"/>
              </w:rPr>
            </w:pPr>
            <w:r>
              <w:rPr>
                <w:rFonts w:hint="eastAsia" w:ascii="宋体" w:hAnsi="宋体" w:eastAsia="宋体" w:cs="Arial"/>
                <w:b w:val="0"/>
                <w:bCs w:val="0"/>
                <w:snapToGrid/>
                <w:color w:val="000000" w:themeColor="text1"/>
                <w:kern w:val="24"/>
                <w:sz w:val="21"/>
                <w:szCs w:val="21"/>
                <w14:textFill>
                  <w14:solidFill>
                    <w14:schemeClr w14:val="tx1"/>
                  </w14:solidFill>
                </w14:textFill>
              </w:rPr>
              <w:t>12</w:t>
            </w:r>
          </w:p>
        </w:tc>
        <w:tc>
          <w:tcPr>
            <w:tcW w:w="4110" w:type="dxa"/>
            <w:shd w:val="clear" w:color="auto" w:fill="auto"/>
            <w:tcMar>
              <w:top w:w="72" w:type="dxa"/>
              <w:left w:w="144" w:type="dxa"/>
              <w:bottom w:w="72" w:type="dxa"/>
              <w:right w:w="144" w:type="dxa"/>
            </w:tcMar>
            <w:vAlign w:val="center"/>
          </w:tcPr>
          <w:p w14:paraId="356DF303">
            <w:pPr>
              <w:kinsoku/>
              <w:autoSpaceDE/>
              <w:autoSpaceDN/>
              <w:adjustRightInd/>
              <w:snapToGrid/>
              <w:spacing w:before="0" w:line="240" w:lineRule="auto"/>
              <w:textAlignment w:val="auto"/>
              <w:rPr>
                <w:rFonts w:ascii="Arial" w:hAnsi="Arial" w:eastAsia="宋体" w:cs="Arial"/>
                <w:b w:val="0"/>
                <w:bCs w:val="0"/>
                <w:snapToGrid/>
                <w:color w:val="auto"/>
                <w:sz w:val="21"/>
                <w:szCs w:val="21"/>
              </w:rPr>
            </w:pPr>
            <w:r>
              <w:rPr>
                <w:rFonts w:hint="eastAsia" w:ascii="宋体" w:hAnsi="宋体" w:eastAsia="宋体" w:cs="Arial"/>
                <w:b w:val="0"/>
                <w:bCs w:val="0"/>
                <w:snapToGrid/>
                <w:color w:val="000000" w:themeColor="text1"/>
                <w:kern w:val="24"/>
                <w:sz w:val="21"/>
                <w:szCs w:val="21"/>
                <w14:textFill>
                  <w14:solidFill>
                    <w14:schemeClr w14:val="tx1"/>
                  </w14:solidFill>
                </w14:textFill>
              </w:rPr>
              <w:t>《</w:t>
            </w:r>
            <w:r>
              <w:rPr>
                <w:rFonts w:hint="eastAsia" w:ascii="宋体" w:hAnsi="宋体" w:eastAsia="宋体" w:cs="微软雅黑"/>
                <w:b w:val="0"/>
                <w:bCs w:val="0"/>
                <w:snapToGrid/>
                <w:color w:val="000000" w:themeColor="text1"/>
                <w:kern w:val="24"/>
                <w:sz w:val="21"/>
                <w:szCs w:val="21"/>
                <w14:textFill>
                  <w14:solidFill>
                    <w14:schemeClr w14:val="tx1"/>
                  </w14:solidFill>
                </w14:textFill>
              </w:rPr>
              <w:t>经营高危险性体育项目许可管理办法》</w:t>
            </w:r>
          </w:p>
        </w:tc>
      </w:tr>
      <w:tr w14:paraId="0C5CA8B3">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0" w:type="dxa"/>
            <w:bottom w:w="0" w:type="dxa"/>
            <w:right w:w="0" w:type="dxa"/>
          </w:tblCellMar>
        </w:tblPrEx>
        <w:trPr>
          <w:trHeight w:val="626" w:hRule="atLeast"/>
        </w:trPr>
        <w:tc>
          <w:tcPr>
            <w:tcW w:w="709" w:type="dxa"/>
            <w:shd w:val="clear" w:color="auto" w:fill="auto"/>
            <w:tcMar>
              <w:top w:w="72" w:type="dxa"/>
              <w:left w:w="144" w:type="dxa"/>
              <w:bottom w:w="72" w:type="dxa"/>
              <w:right w:w="144" w:type="dxa"/>
            </w:tcMar>
            <w:vAlign w:val="center"/>
          </w:tcPr>
          <w:p w14:paraId="2AC46AB1">
            <w:pPr>
              <w:kinsoku/>
              <w:autoSpaceDE/>
              <w:autoSpaceDN/>
              <w:adjustRightInd/>
              <w:snapToGrid/>
              <w:spacing w:before="0" w:line="240" w:lineRule="auto"/>
              <w:textAlignment w:val="auto"/>
              <w:rPr>
                <w:rFonts w:ascii="Arial" w:hAnsi="Arial" w:eastAsia="宋体" w:cs="Arial"/>
                <w:b w:val="0"/>
                <w:bCs w:val="0"/>
                <w:snapToGrid/>
                <w:color w:val="auto"/>
                <w:sz w:val="21"/>
                <w:szCs w:val="21"/>
              </w:rPr>
            </w:pPr>
            <w:r>
              <w:rPr>
                <w:rFonts w:hint="eastAsia" w:ascii="宋体" w:hAnsi="宋体" w:eastAsia="宋体" w:cs="Arial"/>
                <w:b w:val="0"/>
                <w:bCs w:val="0"/>
                <w:snapToGrid/>
                <w:color w:val="000000" w:themeColor="text1"/>
                <w:kern w:val="24"/>
                <w:sz w:val="21"/>
                <w:szCs w:val="21"/>
                <w14:textFill>
                  <w14:solidFill>
                    <w14:schemeClr w14:val="tx1"/>
                  </w14:solidFill>
                </w14:textFill>
              </w:rPr>
              <w:t>2</w:t>
            </w:r>
          </w:p>
        </w:tc>
        <w:tc>
          <w:tcPr>
            <w:tcW w:w="3544" w:type="dxa"/>
            <w:shd w:val="clear" w:color="auto" w:fill="auto"/>
            <w:tcMar>
              <w:top w:w="72" w:type="dxa"/>
              <w:left w:w="144" w:type="dxa"/>
              <w:bottom w:w="72" w:type="dxa"/>
              <w:right w:w="144" w:type="dxa"/>
            </w:tcMar>
            <w:vAlign w:val="center"/>
          </w:tcPr>
          <w:p w14:paraId="331884CA">
            <w:pPr>
              <w:kinsoku/>
              <w:autoSpaceDE/>
              <w:autoSpaceDN/>
              <w:adjustRightInd/>
              <w:snapToGrid/>
              <w:spacing w:before="0" w:line="240" w:lineRule="auto"/>
              <w:textAlignment w:val="auto"/>
              <w:rPr>
                <w:rFonts w:ascii="Arial" w:hAnsi="Arial" w:eastAsia="宋体" w:cs="Arial"/>
                <w:b w:val="0"/>
                <w:bCs w:val="0"/>
                <w:snapToGrid/>
                <w:color w:val="auto"/>
                <w:sz w:val="21"/>
                <w:szCs w:val="21"/>
              </w:rPr>
            </w:pPr>
            <w:r>
              <w:rPr>
                <w:rFonts w:hint="eastAsia" w:ascii="宋体" w:hAnsi="宋体" w:eastAsia="宋体" w:cs="Arial"/>
                <w:b w:val="0"/>
                <w:bCs w:val="0"/>
                <w:snapToGrid/>
                <w:color w:val="000000" w:themeColor="text1"/>
                <w:kern w:val="24"/>
                <w:sz w:val="21"/>
                <w:szCs w:val="21"/>
                <w14:textFill>
                  <w14:solidFill>
                    <w14:schemeClr w14:val="tx1"/>
                  </w14:solidFill>
                </w14:textFill>
              </w:rPr>
              <w:t>《中华人民共和国消防法》</w:t>
            </w:r>
          </w:p>
        </w:tc>
        <w:tc>
          <w:tcPr>
            <w:tcW w:w="851" w:type="dxa"/>
            <w:shd w:val="clear" w:color="auto" w:fill="auto"/>
            <w:tcMar>
              <w:top w:w="72" w:type="dxa"/>
              <w:left w:w="144" w:type="dxa"/>
              <w:bottom w:w="72" w:type="dxa"/>
              <w:right w:w="144" w:type="dxa"/>
            </w:tcMar>
            <w:vAlign w:val="center"/>
          </w:tcPr>
          <w:p w14:paraId="1791C1DC">
            <w:pPr>
              <w:kinsoku/>
              <w:autoSpaceDE/>
              <w:autoSpaceDN/>
              <w:adjustRightInd/>
              <w:snapToGrid/>
              <w:spacing w:before="0" w:line="240" w:lineRule="auto"/>
              <w:textAlignment w:val="auto"/>
              <w:rPr>
                <w:rFonts w:ascii="Arial" w:hAnsi="Arial" w:eastAsia="宋体" w:cs="Arial"/>
                <w:b w:val="0"/>
                <w:bCs w:val="0"/>
                <w:snapToGrid/>
                <w:color w:val="auto"/>
                <w:sz w:val="21"/>
                <w:szCs w:val="21"/>
              </w:rPr>
            </w:pPr>
            <w:r>
              <w:rPr>
                <w:rFonts w:hint="eastAsia" w:ascii="宋体" w:hAnsi="宋体" w:eastAsia="宋体" w:cs="Arial"/>
                <w:b w:val="0"/>
                <w:bCs w:val="0"/>
                <w:snapToGrid/>
                <w:color w:val="000000" w:themeColor="text1"/>
                <w:kern w:val="24"/>
                <w:sz w:val="21"/>
                <w:szCs w:val="21"/>
                <w14:textFill>
                  <w14:solidFill>
                    <w14:schemeClr w14:val="tx1"/>
                  </w14:solidFill>
                </w14:textFill>
              </w:rPr>
              <w:t>13</w:t>
            </w:r>
          </w:p>
        </w:tc>
        <w:tc>
          <w:tcPr>
            <w:tcW w:w="4110" w:type="dxa"/>
            <w:shd w:val="clear" w:color="auto" w:fill="auto"/>
            <w:tcMar>
              <w:top w:w="72" w:type="dxa"/>
              <w:left w:w="144" w:type="dxa"/>
              <w:bottom w:w="72" w:type="dxa"/>
              <w:right w:w="144" w:type="dxa"/>
            </w:tcMar>
            <w:vAlign w:val="center"/>
          </w:tcPr>
          <w:p w14:paraId="1CBB100F">
            <w:pPr>
              <w:kinsoku/>
              <w:autoSpaceDE/>
              <w:autoSpaceDN/>
              <w:adjustRightInd/>
              <w:snapToGrid/>
              <w:spacing w:before="0" w:line="240" w:lineRule="auto"/>
              <w:textAlignment w:val="auto"/>
              <w:rPr>
                <w:rFonts w:ascii="Arial" w:hAnsi="Arial" w:eastAsia="宋体" w:cs="Arial"/>
                <w:b w:val="0"/>
                <w:bCs w:val="0"/>
                <w:snapToGrid/>
                <w:color w:val="auto"/>
                <w:sz w:val="21"/>
                <w:szCs w:val="21"/>
              </w:rPr>
            </w:pPr>
            <w:r>
              <w:rPr>
                <w:rFonts w:hint="eastAsia" w:ascii="宋体" w:hAnsi="宋体" w:eastAsia="宋体" w:cs="Arial"/>
                <w:b w:val="0"/>
                <w:bCs w:val="0"/>
                <w:snapToGrid/>
                <w:color w:val="000000" w:themeColor="text1"/>
                <w:kern w:val="24"/>
                <w:sz w:val="21"/>
                <w:szCs w:val="21"/>
                <w14:textFill>
                  <w14:solidFill>
                    <w14:schemeClr w14:val="tx1"/>
                  </w14:solidFill>
                </w14:textFill>
              </w:rPr>
              <w:t>《</w:t>
            </w:r>
            <w:r>
              <w:rPr>
                <w:rFonts w:hint="eastAsia" w:ascii="宋体" w:hAnsi="宋体" w:eastAsia="宋体" w:cs="微软雅黑"/>
                <w:b w:val="0"/>
                <w:bCs w:val="0"/>
                <w:snapToGrid/>
                <w:color w:val="000000" w:themeColor="text1"/>
                <w:kern w:val="24"/>
                <w:sz w:val="21"/>
                <w:szCs w:val="21"/>
                <w14:textFill>
                  <w14:solidFill>
                    <w14:schemeClr w14:val="tx1"/>
                  </w14:solidFill>
                </w14:textFill>
              </w:rPr>
              <w:t>大型群众性活动安全管理条例》</w:t>
            </w:r>
          </w:p>
        </w:tc>
      </w:tr>
      <w:tr w14:paraId="6AEF0C84">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0" w:type="dxa"/>
            <w:bottom w:w="0" w:type="dxa"/>
            <w:right w:w="0" w:type="dxa"/>
          </w:tblCellMar>
        </w:tblPrEx>
        <w:trPr>
          <w:trHeight w:val="626" w:hRule="atLeast"/>
        </w:trPr>
        <w:tc>
          <w:tcPr>
            <w:tcW w:w="709" w:type="dxa"/>
            <w:shd w:val="clear" w:color="auto" w:fill="auto"/>
            <w:tcMar>
              <w:top w:w="72" w:type="dxa"/>
              <w:left w:w="144" w:type="dxa"/>
              <w:bottom w:w="72" w:type="dxa"/>
              <w:right w:w="144" w:type="dxa"/>
            </w:tcMar>
            <w:vAlign w:val="center"/>
          </w:tcPr>
          <w:p w14:paraId="66F46D60">
            <w:pPr>
              <w:kinsoku/>
              <w:autoSpaceDE/>
              <w:autoSpaceDN/>
              <w:adjustRightInd/>
              <w:snapToGrid/>
              <w:spacing w:before="0" w:line="240" w:lineRule="auto"/>
              <w:textAlignment w:val="auto"/>
              <w:rPr>
                <w:rFonts w:ascii="Arial" w:hAnsi="Arial" w:eastAsia="宋体" w:cs="Arial"/>
                <w:b w:val="0"/>
                <w:bCs w:val="0"/>
                <w:snapToGrid/>
                <w:color w:val="auto"/>
                <w:sz w:val="21"/>
                <w:szCs w:val="21"/>
              </w:rPr>
            </w:pPr>
            <w:r>
              <w:rPr>
                <w:rFonts w:hint="eastAsia" w:ascii="宋体" w:hAnsi="宋体" w:eastAsia="宋体" w:cs="Arial"/>
                <w:b w:val="0"/>
                <w:bCs w:val="0"/>
                <w:snapToGrid/>
                <w:color w:val="000000" w:themeColor="text1"/>
                <w:kern w:val="24"/>
                <w:sz w:val="21"/>
                <w:szCs w:val="21"/>
                <w14:textFill>
                  <w14:solidFill>
                    <w14:schemeClr w14:val="tx1"/>
                  </w14:solidFill>
                </w14:textFill>
              </w:rPr>
              <w:t>3</w:t>
            </w:r>
          </w:p>
        </w:tc>
        <w:tc>
          <w:tcPr>
            <w:tcW w:w="3544" w:type="dxa"/>
            <w:shd w:val="clear" w:color="auto" w:fill="auto"/>
            <w:tcMar>
              <w:top w:w="72" w:type="dxa"/>
              <w:left w:w="144" w:type="dxa"/>
              <w:bottom w:w="72" w:type="dxa"/>
              <w:right w:w="144" w:type="dxa"/>
            </w:tcMar>
            <w:vAlign w:val="center"/>
          </w:tcPr>
          <w:p w14:paraId="085CCCBB">
            <w:pPr>
              <w:kinsoku/>
              <w:autoSpaceDE/>
              <w:autoSpaceDN/>
              <w:adjustRightInd/>
              <w:snapToGrid/>
              <w:spacing w:before="0" w:line="240" w:lineRule="auto"/>
              <w:textAlignment w:val="auto"/>
              <w:rPr>
                <w:rFonts w:ascii="Arial" w:hAnsi="Arial" w:eastAsia="宋体" w:cs="Arial"/>
                <w:b w:val="0"/>
                <w:bCs w:val="0"/>
                <w:snapToGrid/>
                <w:color w:val="auto"/>
                <w:sz w:val="21"/>
                <w:szCs w:val="21"/>
              </w:rPr>
            </w:pPr>
            <w:r>
              <w:rPr>
                <w:rFonts w:hint="eastAsia" w:ascii="宋体" w:hAnsi="宋体" w:eastAsia="宋体" w:cs="Arial"/>
                <w:b w:val="0"/>
                <w:bCs w:val="0"/>
                <w:snapToGrid/>
                <w:color w:val="000000" w:themeColor="text1"/>
                <w:kern w:val="24"/>
                <w:sz w:val="21"/>
                <w:szCs w:val="21"/>
                <w14:textFill>
                  <w14:solidFill>
                    <w14:schemeClr w14:val="tx1"/>
                  </w14:solidFill>
                </w14:textFill>
              </w:rPr>
              <w:t>《中华人民共和国劳动法》</w:t>
            </w:r>
          </w:p>
        </w:tc>
        <w:tc>
          <w:tcPr>
            <w:tcW w:w="851" w:type="dxa"/>
            <w:shd w:val="clear" w:color="auto" w:fill="auto"/>
            <w:tcMar>
              <w:top w:w="72" w:type="dxa"/>
              <w:left w:w="144" w:type="dxa"/>
              <w:bottom w:w="72" w:type="dxa"/>
              <w:right w:w="144" w:type="dxa"/>
            </w:tcMar>
            <w:vAlign w:val="center"/>
          </w:tcPr>
          <w:p w14:paraId="24EE6CD4">
            <w:pPr>
              <w:kinsoku/>
              <w:autoSpaceDE/>
              <w:autoSpaceDN/>
              <w:adjustRightInd/>
              <w:snapToGrid/>
              <w:spacing w:before="0" w:line="240" w:lineRule="auto"/>
              <w:textAlignment w:val="auto"/>
              <w:rPr>
                <w:rFonts w:ascii="Arial" w:hAnsi="Arial" w:eastAsia="宋体" w:cs="Arial"/>
                <w:b w:val="0"/>
                <w:bCs w:val="0"/>
                <w:snapToGrid/>
                <w:color w:val="auto"/>
                <w:sz w:val="21"/>
                <w:szCs w:val="21"/>
              </w:rPr>
            </w:pPr>
            <w:r>
              <w:rPr>
                <w:rFonts w:hint="eastAsia" w:ascii="宋体" w:hAnsi="宋体" w:eastAsia="宋体" w:cs="Arial"/>
                <w:b w:val="0"/>
                <w:bCs w:val="0"/>
                <w:snapToGrid/>
                <w:color w:val="000000" w:themeColor="text1"/>
                <w:kern w:val="24"/>
                <w:sz w:val="21"/>
                <w:szCs w:val="21"/>
                <w14:textFill>
                  <w14:solidFill>
                    <w14:schemeClr w14:val="tx1"/>
                  </w14:solidFill>
                </w14:textFill>
              </w:rPr>
              <w:t>14</w:t>
            </w:r>
          </w:p>
        </w:tc>
        <w:tc>
          <w:tcPr>
            <w:tcW w:w="4110" w:type="dxa"/>
            <w:shd w:val="clear" w:color="auto" w:fill="auto"/>
            <w:tcMar>
              <w:top w:w="72" w:type="dxa"/>
              <w:left w:w="144" w:type="dxa"/>
              <w:bottom w:w="72" w:type="dxa"/>
              <w:right w:w="144" w:type="dxa"/>
            </w:tcMar>
            <w:vAlign w:val="center"/>
          </w:tcPr>
          <w:p w14:paraId="636AA5E8">
            <w:pPr>
              <w:kinsoku/>
              <w:autoSpaceDE/>
              <w:autoSpaceDN/>
              <w:adjustRightInd/>
              <w:snapToGrid/>
              <w:spacing w:before="0" w:line="240" w:lineRule="auto"/>
              <w:textAlignment w:val="auto"/>
              <w:rPr>
                <w:rFonts w:ascii="Arial" w:hAnsi="Arial" w:eastAsia="宋体" w:cs="Arial"/>
                <w:b w:val="0"/>
                <w:bCs w:val="0"/>
                <w:snapToGrid/>
                <w:color w:val="auto"/>
                <w:sz w:val="21"/>
                <w:szCs w:val="21"/>
              </w:rPr>
            </w:pPr>
            <w:r>
              <w:rPr>
                <w:rFonts w:hint="eastAsia" w:ascii="宋体" w:hAnsi="宋体" w:eastAsia="宋体" w:cs="Arial"/>
                <w:b w:val="0"/>
                <w:bCs w:val="0"/>
                <w:snapToGrid/>
                <w:color w:val="000000" w:themeColor="text1"/>
                <w:kern w:val="24"/>
                <w:sz w:val="21"/>
                <w:szCs w:val="21"/>
                <w14:textFill>
                  <w14:solidFill>
                    <w14:schemeClr w14:val="tx1"/>
                  </w14:solidFill>
                </w14:textFill>
              </w:rPr>
              <w:t>《</w:t>
            </w:r>
            <w:r>
              <w:rPr>
                <w:rFonts w:hint="eastAsia" w:ascii="宋体" w:hAnsi="宋体" w:eastAsia="宋体" w:cs="微软雅黑"/>
                <w:b w:val="0"/>
                <w:bCs w:val="0"/>
                <w:snapToGrid/>
                <w:color w:val="000000" w:themeColor="text1"/>
                <w:kern w:val="24"/>
                <w:sz w:val="21"/>
                <w:szCs w:val="21"/>
                <w14:textFill>
                  <w14:solidFill>
                    <w14:schemeClr w14:val="tx1"/>
                  </w14:solidFill>
                </w14:textFill>
              </w:rPr>
              <w:t>体育赛事活动管理办法》</w:t>
            </w:r>
          </w:p>
        </w:tc>
      </w:tr>
      <w:tr w14:paraId="64F63671">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0" w:type="dxa"/>
            <w:bottom w:w="0" w:type="dxa"/>
            <w:right w:w="0" w:type="dxa"/>
          </w:tblCellMar>
        </w:tblPrEx>
        <w:trPr>
          <w:trHeight w:val="626" w:hRule="atLeast"/>
        </w:trPr>
        <w:tc>
          <w:tcPr>
            <w:tcW w:w="709" w:type="dxa"/>
            <w:shd w:val="clear" w:color="auto" w:fill="auto"/>
            <w:tcMar>
              <w:top w:w="72" w:type="dxa"/>
              <w:left w:w="144" w:type="dxa"/>
              <w:bottom w:w="72" w:type="dxa"/>
              <w:right w:w="144" w:type="dxa"/>
            </w:tcMar>
            <w:vAlign w:val="center"/>
          </w:tcPr>
          <w:p w14:paraId="1EB26E4E">
            <w:pPr>
              <w:kinsoku/>
              <w:autoSpaceDE/>
              <w:autoSpaceDN/>
              <w:adjustRightInd/>
              <w:snapToGrid/>
              <w:spacing w:before="0" w:line="240" w:lineRule="auto"/>
              <w:textAlignment w:val="auto"/>
              <w:rPr>
                <w:rFonts w:ascii="Arial" w:hAnsi="Arial" w:eastAsia="宋体" w:cs="Arial"/>
                <w:b w:val="0"/>
                <w:bCs w:val="0"/>
                <w:snapToGrid/>
                <w:color w:val="auto"/>
                <w:sz w:val="21"/>
                <w:szCs w:val="21"/>
              </w:rPr>
            </w:pPr>
            <w:r>
              <w:rPr>
                <w:rFonts w:hint="eastAsia" w:ascii="宋体" w:hAnsi="宋体" w:eastAsia="宋体" w:cs="Arial"/>
                <w:b w:val="0"/>
                <w:bCs w:val="0"/>
                <w:snapToGrid/>
                <w:color w:val="000000" w:themeColor="text1"/>
                <w:kern w:val="24"/>
                <w:sz w:val="21"/>
                <w:szCs w:val="21"/>
                <w14:textFill>
                  <w14:solidFill>
                    <w14:schemeClr w14:val="tx1"/>
                  </w14:solidFill>
                </w14:textFill>
              </w:rPr>
              <w:t>4</w:t>
            </w:r>
          </w:p>
        </w:tc>
        <w:tc>
          <w:tcPr>
            <w:tcW w:w="3544" w:type="dxa"/>
            <w:shd w:val="clear" w:color="auto" w:fill="auto"/>
            <w:tcMar>
              <w:top w:w="72" w:type="dxa"/>
              <w:left w:w="144" w:type="dxa"/>
              <w:bottom w:w="72" w:type="dxa"/>
              <w:right w:w="144" w:type="dxa"/>
            </w:tcMar>
            <w:vAlign w:val="center"/>
          </w:tcPr>
          <w:p w14:paraId="6104E2FC">
            <w:pPr>
              <w:kinsoku/>
              <w:autoSpaceDE/>
              <w:autoSpaceDN/>
              <w:adjustRightInd/>
              <w:snapToGrid/>
              <w:spacing w:before="0" w:line="240" w:lineRule="auto"/>
              <w:textAlignment w:val="auto"/>
              <w:rPr>
                <w:rFonts w:ascii="Arial" w:hAnsi="Arial" w:eastAsia="宋体" w:cs="Arial"/>
                <w:b w:val="0"/>
                <w:bCs w:val="0"/>
                <w:snapToGrid/>
                <w:color w:val="auto"/>
                <w:sz w:val="21"/>
                <w:szCs w:val="21"/>
              </w:rPr>
            </w:pPr>
            <w:r>
              <w:rPr>
                <w:rFonts w:hint="eastAsia" w:ascii="宋体" w:hAnsi="宋体" w:eastAsia="宋体" w:cs="Arial"/>
                <w:b w:val="0"/>
                <w:bCs w:val="0"/>
                <w:snapToGrid/>
                <w:color w:val="000000" w:themeColor="text1"/>
                <w:kern w:val="24"/>
                <w:sz w:val="21"/>
                <w:szCs w:val="21"/>
                <w14:textFill>
                  <w14:solidFill>
                    <w14:schemeClr w14:val="tx1"/>
                  </w14:solidFill>
                </w14:textFill>
              </w:rPr>
              <w:t>《中华人民共和国职业病防治法》</w:t>
            </w:r>
          </w:p>
        </w:tc>
        <w:tc>
          <w:tcPr>
            <w:tcW w:w="851" w:type="dxa"/>
            <w:shd w:val="clear" w:color="auto" w:fill="auto"/>
            <w:tcMar>
              <w:top w:w="72" w:type="dxa"/>
              <w:left w:w="144" w:type="dxa"/>
              <w:bottom w:w="72" w:type="dxa"/>
              <w:right w:w="144" w:type="dxa"/>
            </w:tcMar>
            <w:vAlign w:val="center"/>
          </w:tcPr>
          <w:p w14:paraId="46CFF200">
            <w:pPr>
              <w:kinsoku/>
              <w:autoSpaceDE/>
              <w:autoSpaceDN/>
              <w:adjustRightInd/>
              <w:snapToGrid/>
              <w:spacing w:before="0" w:line="240" w:lineRule="auto"/>
              <w:textAlignment w:val="auto"/>
              <w:rPr>
                <w:rFonts w:ascii="Arial" w:hAnsi="Arial" w:eastAsia="宋体" w:cs="Arial"/>
                <w:b w:val="0"/>
                <w:bCs w:val="0"/>
                <w:snapToGrid/>
                <w:color w:val="auto"/>
                <w:sz w:val="21"/>
                <w:szCs w:val="21"/>
              </w:rPr>
            </w:pPr>
            <w:r>
              <w:rPr>
                <w:rFonts w:hint="eastAsia" w:ascii="宋体" w:hAnsi="宋体" w:eastAsia="宋体" w:cs="Arial"/>
                <w:b w:val="0"/>
                <w:bCs w:val="0"/>
                <w:snapToGrid/>
                <w:color w:val="000000" w:themeColor="text1"/>
                <w:kern w:val="24"/>
                <w:sz w:val="21"/>
                <w:szCs w:val="21"/>
                <w14:textFill>
                  <w14:solidFill>
                    <w14:schemeClr w14:val="tx1"/>
                  </w14:solidFill>
                </w14:textFill>
              </w:rPr>
              <w:t>15</w:t>
            </w:r>
          </w:p>
        </w:tc>
        <w:tc>
          <w:tcPr>
            <w:tcW w:w="4110" w:type="dxa"/>
            <w:shd w:val="clear" w:color="auto" w:fill="auto"/>
            <w:tcMar>
              <w:top w:w="72" w:type="dxa"/>
              <w:left w:w="144" w:type="dxa"/>
              <w:bottom w:w="72" w:type="dxa"/>
              <w:right w:w="144" w:type="dxa"/>
            </w:tcMar>
            <w:vAlign w:val="center"/>
          </w:tcPr>
          <w:p w14:paraId="7336EEA4">
            <w:pPr>
              <w:kinsoku/>
              <w:autoSpaceDE/>
              <w:autoSpaceDN/>
              <w:adjustRightInd/>
              <w:snapToGrid/>
              <w:spacing w:before="0" w:line="240" w:lineRule="auto"/>
              <w:textAlignment w:val="auto"/>
              <w:rPr>
                <w:rFonts w:ascii="Arial" w:hAnsi="Arial" w:eastAsia="宋体" w:cs="Arial"/>
                <w:b w:val="0"/>
                <w:bCs w:val="0"/>
                <w:snapToGrid/>
                <w:color w:val="auto"/>
                <w:sz w:val="21"/>
                <w:szCs w:val="21"/>
              </w:rPr>
            </w:pPr>
            <w:r>
              <w:rPr>
                <w:rFonts w:hint="eastAsia" w:ascii="宋体" w:hAnsi="宋体" w:eastAsia="宋体" w:cs="Arial"/>
                <w:b w:val="0"/>
                <w:bCs w:val="0"/>
                <w:snapToGrid/>
                <w:color w:val="000000" w:themeColor="text1"/>
                <w:kern w:val="24"/>
                <w:sz w:val="21"/>
                <w:szCs w:val="21"/>
                <w14:textFill>
                  <w14:solidFill>
                    <w14:schemeClr w14:val="tx1"/>
                  </w14:solidFill>
                </w14:textFill>
              </w:rPr>
              <w:t>《</w:t>
            </w:r>
            <w:r>
              <w:rPr>
                <w:rFonts w:hint="eastAsia" w:ascii="宋体" w:hAnsi="宋体" w:eastAsia="宋体" w:cs="微软雅黑"/>
                <w:b w:val="0"/>
                <w:bCs w:val="0"/>
                <w:snapToGrid/>
                <w:color w:val="000000" w:themeColor="text1"/>
                <w:kern w:val="24"/>
                <w:sz w:val="21"/>
                <w:szCs w:val="21"/>
                <w14:textFill>
                  <w14:solidFill>
                    <w14:schemeClr w14:val="tx1"/>
                  </w14:solidFill>
                </w14:textFill>
              </w:rPr>
              <w:t>体育场馆运营管理办法》</w:t>
            </w:r>
          </w:p>
        </w:tc>
      </w:tr>
      <w:tr w14:paraId="6BEE84B5">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0" w:type="dxa"/>
            <w:bottom w:w="0" w:type="dxa"/>
            <w:right w:w="0" w:type="dxa"/>
          </w:tblCellMar>
        </w:tblPrEx>
        <w:trPr>
          <w:trHeight w:val="626" w:hRule="atLeast"/>
        </w:trPr>
        <w:tc>
          <w:tcPr>
            <w:tcW w:w="709" w:type="dxa"/>
            <w:shd w:val="clear" w:color="auto" w:fill="auto"/>
            <w:tcMar>
              <w:top w:w="72" w:type="dxa"/>
              <w:left w:w="144" w:type="dxa"/>
              <w:bottom w:w="72" w:type="dxa"/>
              <w:right w:w="144" w:type="dxa"/>
            </w:tcMar>
            <w:vAlign w:val="center"/>
          </w:tcPr>
          <w:p w14:paraId="58FAA76E">
            <w:pPr>
              <w:kinsoku/>
              <w:autoSpaceDE/>
              <w:autoSpaceDN/>
              <w:adjustRightInd/>
              <w:snapToGrid/>
              <w:spacing w:before="0" w:line="240" w:lineRule="auto"/>
              <w:textAlignment w:val="auto"/>
              <w:rPr>
                <w:rFonts w:ascii="Arial" w:hAnsi="Arial" w:eastAsia="宋体" w:cs="Arial"/>
                <w:b w:val="0"/>
                <w:bCs w:val="0"/>
                <w:snapToGrid/>
                <w:color w:val="auto"/>
                <w:sz w:val="21"/>
                <w:szCs w:val="21"/>
              </w:rPr>
            </w:pPr>
            <w:r>
              <w:rPr>
                <w:rFonts w:hint="eastAsia" w:ascii="宋体" w:hAnsi="宋体" w:eastAsia="宋体" w:cs="Arial"/>
                <w:b w:val="0"/>
                <w:bCs w:val="0"/>
                <w:snapToGrid/>
                <w:color w:val="000000" w:themeColor="text1"/>
                <w:kern w:val="24"/>
                <w:sz w:val="21"/>
                <w:szCs w:val="21"/>
                <w14:textFill>
                  <w14:solidFill>
                    <w14:schemeClr w14:val="tx1"/>
                  </w14:solidFill>
                </w14:textFill>
              </w:rPr>
              <w:t>5</w:t>
            </w:r>
          </w:p>
        </w:tc>
        <w:tc>
          <w:tcPr>
            <w:tcW w:w="3544" w:type="dxa"/>
            <w:shd w:val="clear" w:color="auto" w:fill="auto"/>
            <w:tcMar>
              <w:top w:w="72" w:type="dxa"/>
              <w:left w:w="144" w:type="dxa"/>
              <w:bottom w:w="72" w:type="dxa"/>
              <w:right w:w="144" w:type="dxa"/>
            </w:tcMar>
            <w:vAlign w:val="center"/>
          </w:tcPr>
          <w:p w14:paraId="0DBDEC76">
            <w:pPr>
              <w:kinsoku/>
              <w:autoSpaceDE/>
              <w:autoSpaceDN/>
              <w:adjustRightInd/>
              <w:snapToGrid/>
              <w:spacing w:before="0" w:line="240" w:lineRule="auto"/>
              <w:textAlignment w:val="auto"/>
              <w:rPr>
                <w:rFonts w:ascii="Arial" w:hAnsi="Arial" w:eastAsia="宋体" w:cs="Arial"/>
                <w:b w:val="0"/>
                <w:bCs w:val="0"/>
                <w:snapToGrid/>
                <w:color w:val="auto"/>
                <w:sz w:val="21"/>
                <w:szCs w:val="21"/>
              </w:rPr>
            </w:pPr>
            <w:r>
              <w:rPr>
                <w:rFonts w:hint="eastAsia" w:ascii="宋体" w:hAnsi="宋体" w:eastAsia="宋体" w:cs="Arial"/>
                <w:b w:val="0"/>
                <w:bCs w:val="0"/>
                <w:snapToGrid/>
                <w:color w:val="000000" w:themeColor="text1"/>
                <w:kern w:val="24"/>
                <w:sz w:val="21"/>
                <w:szCs w:val="21"/>
                <w14:textFill>
                  <w14:solidFill>
                    <w14:schemeClr w14:val="tx1"/>
                  </w14:solidFill>
                </w14:textFill>
              </w:rPr>
              <w:t>《中华人民共和国突发事件应对法》</w:t>
            </w:r>
          </w:p>
        </w:tc>
        <w:tc>
          <w:tcPr>
            <w:tcW w:w="851" w:type="dxa"/>
            <w:shd w:val="clear" w:color="auto" w:fill="auto"/>
            <w:tcMar>
              <w:top w:w="72" w:type="dxa"/>
              <w:left w:w="144" w:type="dxa"/>
              <w:bottom w:w="72" w:type="dxa"/>
              <w:right w:w="144" w:type="dxa"/>
            </w:tcMar>
            <w:vAlign w:val="center"/>
          </w:tcPr>
          <w:p w14:paraId="77919A8D">
            <w:pPr>
              <w:kinsoku/>
              <w:autoSpaceDE/>
              <w:autoSpaceDN/>
              <w:adjustRightInd/>
              <w:snapToGrid/>
              <w:spacing w:before="0" w:line="240" w:lineRule="auto"/>
              <w:textAlignment w:val="auto"/>
              <w:rPr>
                <w:rFonts w:ascii="Arial" w:hAnsi="Arial" w:eastAsia="宋体" w:cs="Arial"/>
                <w:b w:val="0"/>
                <w:bCs w:val="0"/>
                <w:snapToGrid/>
                <w:color w:val="auto"/>
                <w:sz w:val="21"/>
                <w:szCs w:val="21"/>
              </w:rPr>
            </w:pPr>
            <w:r>
              <w:rPr>
                <w:rFonts w:hint="eastAsia" w:ascii="宋体" w:hAnsi="宋体" w:eastAsia="宋体" w:cs="Arial"/>
                <w:b w:val="0"/>
                <w:bCs w:val="0"/>
                <w:snapToGrid/>
                <w:color w:val="000000" w:themeColor="text1"/>
                <w:kern w:val="24"/>
                <w:sz w:val="21"/>
                <w:szCs w:val="21"/>
                <w14:textFill>
                  <w14:solidFill>
                    <w14:schemeClr w14:val="tx1"/>
                  </w14:solidFill>
                </w14:textFill>
              </w:rPr>
              <w:t>16</w:t>
            </w:r>
          </w:p>
        </w:tc>
        <w:tc>
          <w:tcPr>
            <w:tcW w:w="4110" w:type="dxa"/>
            <w:shd w:val="clear" w:color="auto" w:fill="auto"/>
            <w:tcMar>
              <w:top w:w="72" w:type="dxa"/>
              <w:left w:w="144" w:type="dxa"/>
              <w:bottom w:w="72" w:type="dxa"/>
              <w:right w:w="144" w:type="dxa"/>
            </w:tcMar>
            <w:vAlign w:val="center"/>
          </w:tcPr>
          <w:p w14:paraId="52B5D7D2">
            <w:pPr>
              <w:kinsoku/>
              <w:autoSpaceDE/>
              <w:autoSpaceDN/>
              <w:adjustRightInd/>
              <w:snapToGrid/>
              <w:spacing w:before="0" w:line="240" w:lineRule="auto"/>
              <w:textAlignment w:val="auto"/>
              <w:rPr>
                <w:rFonts w:ascii="Arial" w:hAnsi="Arial" w:eastAsia="宋体" w:cs="Arial"/>
                <w:b w:val="0"/>
                <w:bCs w:val="0"/>
                <w:snapToGrid/>
                <w:color w:val="auto"/>
                <w:sz w:val="21"/>
                <w:szCs w:val="21"/>
              </w:rPr>
            </w:pPr>
            <w:r>
              <w:rPr>
                <w:rFonts w:hint="eastAsia" w:ascii="宋体" w:hAnsi="宋体" w:eastAsia="宋体" w:cs="微软雅黑"/>
                <w:b w:val="0"/>
                <w:bCs w:val="0"/>
                <w:snapToGrid/>
                <w:color w:val="000000" w:themeColor="text1"/>
                <w:kern w:val="24"/>
                <w:sz w:val="21"/>
                <w:szCs w:val="21"/>
                <w14:textFill>
                  <w14:solidFill>
                    <w14:schemeClr w14:val="tx1"/>
                  </w14:solidFill>
                </w14:textFill>
              </w:rPr>
              <w:t>《公共体育场馆基本公共服务规范》</w:t>
            </w:r>
          </w:p>
        </w:tc>
      </w:tr>
      <w:tr w14:paraId="117F2573">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0" w:type="dxa"/>
            <w:bottom w:w="0" w:type="dxa"/>
            <w:right w:w="0" w:type="dxa"/>
          </w:tblCellMar>
        </w:tblPrEx>
        <w:trPr>
          <w:trHeight w:val="626" w:hRule="atLeast"/>
        </w:trPr>
        <w:tc>
          <w:tcPr>
            <w:tcW w:w="709" w:type="dxa"/>
            <w:shd w:val="clear" w:color="auto" w:fill="auto"/>
            <w:tcMar>
              <w:top w:w="72" w:type="dxa"/>
              <w:left w:w="144" w:type="dxa"/>
              <w:bottom w:w="72" w:type="dxa"/>
              <w:right w:w="144" w:type="dxa"/>
            </w:tcMar>
            <w:vAlign w:val="center"/>
          </w:tcPr>
          <w:p w14:paraId="4BF52EA7">
            <w:pPr>
              <w:kinsoku/>
              <w:autoSpaceDE/>
              <w:autoSpaceDN/>
              <w:adjustRightInd/>
              <w:snapToGrid/>
              <w:spacing w:before="0" w:line="240" w:lineRule="auto"/>
              <w:textAlignment w:val="auto"/>
              <w:rPr>
                <w:rFonts w:ascii="Arial" w:hAnsi="Arial" w:eastAsia="宋体" w:cs="Arial"/>
                <w:b w:val="0"/>
                <w:bCs w:val="0"/>
                <w:snapToGrid/>
                <w:color w:val="auto"/>
                <w:sz w:val="21"/>
                <w:szCs w:val="21"/>
              </w:rPr>
            </w:pPr>
            <w:r>
              <w:rPr>
                <w:rFonts w:hint="eastAsia" w:ascii="宋体" w:hAnsi="宋体" w:eastAsia="宋体" w:cs="Arial"/>
                <w:b w:val="0"/>
                <w:bCs w:val="0"/>
                <w:snapToGrid/>
                <w:color w:val="000000" w:themeColor="text1"/>
                <w:kern w:val="24"/>
                <w:sz w:val="21"/>
                <w:szCs w:val="21"/>
                <w14:textFill>
                  <w14:solidFill>
                    <w14:schemeClr w14:val="tx1"/>
                  </w14:solidFill>
                </w14:textFill>
              </w:rPr>
              <w:t>6</w:t>
            </w:r>
          </w:p>
        </w:tc>
        <w:tc>
          <w:tcPr>
            <w:tcW w:w="3544" w:type="dxa"/>
            <w:shd w:val="clear" w:color="auto" w:fill="auto"/>
            <w:tcMar>
              <w:top w:w="72" w:type="dxa"/>
              <w:left w:w="144" w:type="dxa"/>
              <w:bottom w:w="72" w:type="dxa"/>
              <w:right w:w="144" w:type="dxa"/>
            </w:tcMar>
            <w:vAlign w:val="center"/>
          </w:tcPr>
          <w:p w14:paraId="35E3AF83">
            <w:pPr>
              <w:kinsoku/>
              <w:autoSpaceDE/>
              <w:autoSpaceDN/>
              <w:adjustRightInd/>
              <w:snapToGrid/>
              <w:spacing w:before="0" w:line="240" w:lineRule="auto"/>
              <w:textAlignment w:val="auto"/>
              <w:rPr>
                <w:rFonts w:ascii="Arial" w:hAnsi="Arial" w:eastAsia="宋体" w:cs="Arial"/>
                <w:b w:val="0"/>
                <w:bCs w:val="0"/>
                <w:snapToGrid/>
                <w:color w:val="auto"/>
                <w:sz w:val="21"/>
                <w:szCs w:val="21"/>
              </w:rPr>
            </w:pPr>
            <w:r>
              <w:rPr>
                <w:rFonts w:hint="eastAsia" w:ascii="宋体" w:hAnsi="宋体" w:eastAsia="宋体" w:cs="Arial"/>
                <w:b w:val="0"/>
                <w:bCs w:val="0"/>
                <w:snapToGrid/>
                <w:color w:val="000000" w:themeColor="text1"/>
                <w:kern w:val="24"/>
                <w:sz w:val="21"/>
                <w:szCs w:val="21"/>
                <w14:textFill>
                  <w14:solidFill>
                    <w14:schemeClr w14:val="tx1"/>
                  </w14:solidFill>
                </w14:textFill>
              </w:rPr>
              <w:t>《中华人民共和国特种设备安全法》</w:t>
            </w:r>
          </w:p>
        </w:tc>
        <w:tc>
          <w:tcPr>
            <w:tcW w:w="851" w:type="dxa"/>
            <w:shd w:val="clear" w:color="auto" w:fill="auto"/>
            <w:tcMar>
              <w:top w:w="72" w:type="dxa"/>
              <w:left w:w="144" w:type="dxa"/>
              <w:bottom w:w="72" w:type="dxa"/>
              <w:right w:w="144" w:type="dxa"/>
            </w:tcMar>
            <w:vAlign w:val="center"/>
          </w:tcPr>
          <w:p w14:paraId="54405121">
            <w:pPr>
              <w:kinsoku/>
              <w:autoSpaceDE/>
              <w:autoSpaceDN/>
              <w:adjustRightInd/>
              <w:snapToGrid/>
              <w:spacing w:before="0" w:line="240" w:lineRule="auto"/>
              <w:textAlignment w:val="auto"/>
              <w:rPr>
                <w:rFonts w:ascii="Arial" w:hAnsi="Arial" w:eastAsia="宋体" w:cs="Arial"/>
                <w:b w:val="0"/>
                <w:bCs w:val="0"/>
                <w:snapToGrid/>
                <w:color w:val="auto"/>
                <w:sz w:val="21"/>
                <w:szCs w:val="21"/>
              </w:rPr>
            </w:pPr>
            <w:r>
              <w:rPr>
                <w:rFonts w:hint="eastAsia" w:ascii="宋体" w:hAnsi="宋体" w:eastAsia="宋体" w:cs="Arial"/>
                <w:b w:val="0"/>
                <w:bCs w:val="0"/>
                <w:snapToGrid/>
                <w:color w:val="000000" w:themeColor="text1"/>
                <w:kern w:val="24"/>
                <w:sz w:val="21"/>
                <w:szCs w:val="21"/>
                <w14:textFill>
                  <w14:solidFill>
                    <w14:schemeClr w14:val="tx1"/>
                  </w14:solidFill>
                </w14:textFill>
              </w:rPr>
              <w:t>17</w:t>
            </w:r>
          </w:p>
        </w:tc>
        <w:tc>
          <w:tcPr>
            <w:tcW w:w="4110" w:type="dxa"/>
            <w:shd w:val="clear" w:color="auto" w:fill="auto"/>
            <w:tcMar>
              <w:top w:w="72" w:type="dxa"/>
              <w:left w:w="144" w:type="dxa"/>
              <w:bottom w:w="72" w:type="dxa"/>
              <w:right w:w="144" w:type="dxa"/>
            </w:tcMar>
            <w:vAlign w:val="center"/>
          </w:tcPr>
          <w:p w14:paraId="3CEE198A">
            <w:pPr>
              <w:kinsoku/>
              <w:autoSpaceDE/>
              <w:autoSpaceDN/>
              <w:adjustRightInd/>
              <w:snapToGrid/>
              <w:spacing w:before="0" w:line="240" w:lineRule="auto"/>
              <w:textAlignment w:val="auto"/>
              <w:rPr>
                <w:rFonts w:ascii="Arial" w:hAnsi="Arial" w:eastAsia="宋体" w:cs="Arial"/>
                <w:b w:val="0"/>
                <w:bCs w:val="0"/>
                <w:snapToGrid/>
                <w:color w:val="auto"/>
                <w:sz w:val="21"/>
                <w:szCs w:val="21"/>
              </w:rPr>
            </w:pPr>
            <w:r>
              <w:rPr>
                <w:rFonts w:hint="eastAsia" w:ascii="宋体" w:hAnsi="宋体" w:eastAsia="宋体" w:cs="Arial"/>
                <w:b w:val="0"/>
                <w:bCs w:val="0"/>
                <w:snapToGrid/>
                <w:color w:val="000000" w:themeColor="text1"/>
                <w:kern w:val="24"/>
                <w:sz w:val="21"/>
                <w:szCs w:val="21"/>
                <w14:textFill>
                  <w14:solidFill>
                    <w14:schemeClr w14:val="tx1"/>
                  </w14:solidFill>
                </w14:textFill>
              </w:rPr>
              <w:t>《企业安全生产责任体系五落实五到位规定》</w:t>
            </w:r>
          </w:p>
        </w:tc>
      </w:tr>
      <w:tr w14:paraId="54EDBBAD">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0" w:type="dxa"/>
            <w:bottom w:w="0" w:type="dxa"/>
            <w:right w:w="0" w:type="dxa"/>
          </w:tblCellMar>
        </w:tblPrEx>
        <w:trPr>
          <w:trHeight w:val="626" w:hRule="atLeast"/>
        </w:trPr>
        <w:tc>
          <w:tcPr>
            <w:tcW w:w="709" w:type="dxa"/>
            <w:shd w:val="clear" w:color="auto" w:fill="auto"/>
            <w:tcMar>
              <w:top w:w="72" w:type="dxa"/>
              <w:left w:w="144" w:type="dxa"/>
              <w:bottom w:w="72" w:type="dxa"/>
              <w:right w:w="144" w:type="dxa"/>
            </w:tcMar>
            <w:vAlign w:val="center"/>
          </w:tcPr>
          <w:p w14:paraId="4C4E6E33">
            <w:pPr>
              <w:kinsoku/>
              <w:autoSpaceDE/>
              <w:autoSpaceDN/>
              <w:adjustRightInd/>
              <w:snapToGrid/>
              <w:spacing w:before="0" w:line="240" w:lineRule="auto"/>
              <w:textAlignment w:val="auto"/>
              <w:rPr>
                <w:rFonts w:ascii="Arial" w:hAnsi="Arial" w:eastAsia="宋体" w:cs="Arial"/>
                <w:b w:val="0"/>
                <w:bCs w:val="0"/>
                <w:snapToGrid/>
                <w:color w:val="auto"/>
                <w:sz w:val="21"/>
                <w:szCs w:val="21"/>
              </w:rPr>
            </w:pPr>
            <w:r>
              <w:rPr>
                <w:rFonts w:hint="eastAsia" w:ascii="宋体" w:hAnsi="宋体" w:eastAsia="宋体" w:cs="Arial"/>
                <w:b w:val="0"/>
                <w:bCs w:val="0"/>
                <w:snapToGrid/>
                <w:color w:val="000000" w:themeColor="text1"/>
                <w:kern w:val="24"/>
                <w:sz w:val="21"/>
                <w:szCs w:val="21"/>
                <w14:textFill>
                  <w14:solidFill>
                    <w14:schemeClr w14:val="tx1"/>
                  </w14:solidFill>
                </w14:textFill>
              </w:rPr>
              <w:t>7</w:t>
            </w:r>
          </w:p>
        </w:tc>
        <w:tc>
          <w:tcPr>
            <w:tcW w:w="3544" w:type="dxa"/>
            <w:shd w:val="clear" w:color="auto" w:fill="auto"/>
            <w:tcMar>
              <w:top w:w="72" w:type="dxa"/>
              <w:left w:w="144" w:type="dxa"/>
              <w:bottom w:w="72" w:type="dxa"/>
              <w:right w:w="144" w:type="dxa"/>
            </w:tcMar>
            <w:vAlign w:val="center"/>
          </w:tcPr>
          <w:p w14:paraId="14D65164">
            <w:pPr>
              <w:kinsoku/>
              <w:autoSpaceDE/>
              <w:autoSpaceDN/>
              <w:adjustRightInd/>
              <w:snapToGrid/>
              <w:spacing w:before="0" w:line="240" w:lineRule="auto"/>
              <w:textAlignment w:val="auto"/>
              <w:rPr>
                <w:rFonts w:ascii="Arial" w:hAnsi="Arial" w:eastAsia="宋体" w:cs="Arial"/>
                <w:b w:val="0"/>
                <w:bCs w:val="0"/>
                <w:snapToGrid/>
                <w:color w:val="auto"/>
                <w:sz w:val="21"/>
                <w:szCs w:val="21"/>
              </w:rPr>
            </w:pPr>
            <w:r>
              <w:rPr>
                <w:rFonts w:hint="eastAsia" w:ascii="宋体" w:hAnsi="宋体" w:eastAsia="宋体" w:cs="Arial"/>
                <w:b w:val="0"/>
                <w:bCs w:val="0"/>
                <w:snapToGrid/>
                <w:color w:val="000000" w:themeColor="text1"/>
                <w:kern w:val="24"/>
                <w:sz w:val="21"/>
                <w:szCs w:val="21"/>
                <w14:textFill>
                  <w14:solidFill>
                    <w14:schemeClr w14:val="tx1"/>
                  </w14:solidFill>
                </w14:textFill>
              </w:rPr>
              <w:t>《中华人民共和国环境保护法》</w:t>
            </w:r>
          </w:p>
        </w:tc>
        <w:tc>
          <w:tcPr>
            <w:tcW w:w="851" w:type="dxa"/>
            <w:shd w:val="clear" w:color="auto" w:fill="auto"/>
            <w:tcMar>
              <w:top w:w="72" w:type="dxa"/>
              <w:left w:w="144" w:type="dxa"/>
              <w:bottom w:w="72" w:type="dxa"/>
              <w:right w:w="144" w:type="dxa"/>
            </w:tcMar>
            <w:vAlign w:val="center"/>
          </w:tcPr>
          <w:p w14:paraId="6315741A">
            <w:pPr>
              <w:kinsoku/>
              <w:autoSpaceDE/>
              <w:autoSpaceDN/>
              <w:adjustRightInd/>
              <w:snapToGrid/>
              <w:spacing w:before="0" w:line="240" w:lineRule="auto"/>
              <w:textAlignment w:val="auto"/>
              <w:rPr>
                <w:rFonts w:ascii="Arial" w:hAnsi="Arial" w:eastAsia="宋体" w:cs="Arial"/>
                <w:b w:val="0"/>
                <w:bCs w:val="0"/>
                <w:snapToGrid/>
                <w:color w:val="auto"/>
                <w:sz w:val="21"/>
                <w:szCs w:val="21"/>
              </w:rPr>
            </w:pPr>
            <w:r>
              <w:rPr>
                <w:rFonts w:hint="eastAsia" w:ascii="宋体" w:hAnsi="宋体" w:eastAsia="宋体" w:cs="Arial"/>
                <w:b w:val="0"/>
                <w:bCs w:val="0"/>
                <w:snapToGrid/>
                <w:color w:val="000000" w:themeColor="text1"/>
                <w:kern w:val="24"/>
                <w:sz w:val="21"/>
                <w:szCs w:val="21"/>
                <w14:textFill>
                  <w14:solidFill>
                    <w14:schemeClr w14:val="tx1"/>
                  </w14:solidFill>
                </w14:textFill>
              </w:rPr>
              <w:t>18</w:t>
            </w:r>
          </w:p>
        </w:tc>
        <w:tc>
          <w:tcPr>
            <w:tcW w:w="4110" w:type="dxa"/>
            <w:shd w:val="clear" w:color="auto" w:fill="auto"/>
            <w:tcMar>
              <w:top w:w="72" w:type="dxa"/>
              <w:left w:w="144" w:type="dxa"/>
              <w:bottom w:w="72" w:type="dxa"/>
              <w:right w:w="144" w:type="dxa"/>
            </w:tcMar>
            <w:vAlign w:val="center"/>
          </w:tcPr>
          <w:p w14:paraId="0A2B2F77">
            <w:pPr>
              <w:kinsoku/>
              <w:autoSpaceDE/>
              <w:autoSpaceDN/>
              <w:adjustRightInd/>
              <w:snapToGrid/>
              <w:spacing w:before="0" w:line="240" w:lineRule="auto"/>
              <w:textAlignment w:val="auto"/>
              <w:rPr>
                <w:rFonts w:ascii="Arial" w:hAnsi="Arial" w:eastAsia="宋体" w:cs="Arial"/>
                <w:b w:val="0"/>
                <w:bCs w:val="0"/>
                <w:snapToGrid/>
                <w:color w:val="auto"/>
                <w:sz w:val="21"/>
                <w:szCs w:val="21"/>
              </w:rPr>
            </w:pPr>
            <w:r>
              <w:rPr>
                <w:rFonts w:hint="eastAsia" w:ascii="宋体" w:hAnsi="宋体" w:eastAsia="宋体" w:cs="Arial"/>
                <w:b w:val="0"/>
                <w:bCs w:val="0"/>
                <w:snapToGrid/>
                <w:color w:val="000000" w:themeColor="text1"/>
                <w:kern w:val="24"/>
                <w:sz w:val="21"/>
                <w:szCs w:val="21"/>
                <w14:textFill>
                  <w14:solidFill>
                    <w14:schemeClr w14:val="tx1"/>
                  </w14:solidFill>
                </w14:textFill>
              </w:rPr>
              <w:t>《安全生产培训管理办法》</w:t>
            </w:r>
          </w:p>
        </w:tc>
      </w:tr>
      <w:tr w14:paraId="18E05660">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0" w:type="dxa"/>
            <w:bottom w:w="0" w:type="dxa"/>
            <w:right w:w="0" w:type="dxa"/>
          </w:tblCellMar>
        </w:tblPrEx>
        <w:trPr>
          <w:trHeight w:val="626" w:hRule="atLeast"/>
        </w:trPr>
        <w:tc>
          <w:tcPr>
            <w:tcW w:w="709" w:type="dxa"/>
            <w:shd w:val="clear" w:color="auto" w:fill="auto"/>
            <w:tcMar>
              <w:top w:w="72" w:type="dxa"/>
              <w:left w:w="144" w:type="dxa"/>
              <w:bottom w:w="72" w:type="dxa"/>
              <w:right w:w="144" w:type="dxa"/>
            </w:tcMar>
            <w:vAlign w:val="center"/>
          </w:tcPr>
          <w:p w14:paraId="26C9DB5D">
            <w:pPr>
              <w:kinsoku/>
              <w:autoSpaceDE/>
              <w:autoSpaceDN/>
              <w:adjustRightInd/>
              <w:snapToGrid/>
              <w:spacing w:before="0" w:line="240" w:lineRule="auto"/>
              <w:textAlignment w:val="auto"/>
              <w:rPr>
                <w:rFonts w:ascii="Arial" w:hAnsi="Arial" w:eastAsia="宋体" w:cs="Arial"/>
                <w:b w:val="0"/>
                <w:bCs w:val="0"/>
                <w:snapToGrid/>
                <w:color w:val="auto"/>
                <w:sz w:val="21"/>
                <w:szCs w:val="21"/>
              </w:rPr>
            </w:pPr>
            <w:r>
              <w:rPr>
                <w:rFonts w:hint="eastAsia" w:ascii="宋体" w:hAnsi="宋体" w:eastAsia="宋体" w:cs="Arial"/>
                <w:b w:val="0"/>
                <w:bCs w:val="0"/>
                <w:snapToGrid/>
                <w:color w:val="000000" w:themeColor="text1"/>
                <w:kern w:val="24"/>
                <w:sz w:val="21"/>
                <w:szCs w:val="21"/>
                <w14:textFill>
                  <w14:solidFill>
                    <w14:schemeClr w14:val="tx1"/>
                  </w14:solidFill>
                </w14:textFill>
              </w:rPr>
              <w:t>8</w:t>
            </w:r>
          </w:p>
        </w:tc>
        <w:tc>
          <w:tcPr>
            <w:tcW w:w="3544" w:type="dxa"/>
            <w:shd w:val="clear" w:color="auto" w:fill="auto"/>
            <w:tcMar>
              <w:top w:w="72" w:type="dxa"/>
              <w:left w:w="144" w:type="dxa"/>
              <w:bottom w:w="72" w:type="dxa"/>
              <w:right w:w="144" w:type="dxa"/>
            </w:tcMar>
            <w:vAlign w:val="center"/>
          </w:tcPr>
          <w:p w14:paraId="1874DBE5">
            <w:pPr>
              <w:kinsoku/>
              <w:autoSpaceDE/>
              <w:autoSpaceDN/>
              <w:adjustRightInd/>
              <w:snapToGrid/>
              <w:spacing w:before="0" w:line="240" w:lineRule="auto"/>
              <w:textAlignment w:val="auto"/>
              <w:rPr>
                <w:rFonts w:ascii="Arial" w:hAnsi="Arial" w:eastAsia="宋体" w:cs="Arial"/>
                <w:b w:val="0"/>
                <w:bCs w:val="0"/>
                <w:snapToGrid/>
                <w:color w:val="auto"/>
                <w:sz w:val="21"/>
                <w:szCs w:val="21"/>
              </w:rPr>
            </w:pPr>
            <w:r>
              <w:rPr>
                <w:rFonts w:hint="eastAsia" w:ascii="宋体" w:hAnsi="宋体" w:eastAsia="宋体" w:cs="Arial"/>
                <w:b w:val="0"/>
                <w:bCs w:val="0"/>
                <w:snapToGrid/>
                <w:color w:val="000000" w:themeColor="text1"/>
                <w:kern w:val="24"/>
                <w:sz w:val="21"/>
                <w:szCs w:val="21"/>
                <w14:textFill>
                  <w14:solidFill>
                    <w14:schemeClr w14:val="tx1"/>
                  </w14:solidFill>
                </w14:textFill>
              </w:rPr>
              <w:t>《中华人民共和国体育法》</w:t>
            </w:r>
          </w:p>
        </w:tc>
        <w:tc>
          <w:tcPr>
            <w:tcW w:w="851" w:type="dxa"/>
            <w:shd w:val="clear" w:color="auto" w:fill="auto"/>
            <w:tcMar>
              <w:top w:w="72" w:type="dxa"/>
              <w:left w:w="144" w:type="dxa"/>
              <w:bottom w:w="72" w:type="dxa"/>
              <w:right w:w="144" w:type="dxa"/>
            </w:tcMar>
            <w:vAlign w:val="center"/>
          </w:tcPr>
          <w:p w14:paraId="2226121B">
            <w:pPr>
              <w:kinsoku/>
              <w:autoSpaceDE/>
              <w:autoSpaceDN/>
              <w:adjustRightInd/>
              <w:snapToGrid/>
              <w:spacing w:before="0" w:line="240" w:lineRule="auto"/>
              <w:textAlignment w:val="auto"/>
              <w:rPr>
                <w:rFonts w:ascii="Arial" w:hAnsi="Arial" w:eastAsia="宋体" w:cs="Arial"/>
                <w:b w:val="0"/>
                <w:bCs w:val="0"/>
                <w:snapToGrid/>
                <w:color w:val="auto"/>
                <w:sz w:val="21"/>
                <w:szCs w:val="21"/>
              </w:rPr>
            </w:pPr>
            <w:r>
              <w:rPr>
                <w:rFonts w:hint="eastAsia" w:ascii="宋体" w:hAnsi="宋体" w:eastAsia="宋体" w:cs="Arial"/>
                <w:b w:val="0"/>
                <w:bCs w:val="0"/>
                <w:snapToGrid/>
                <w:color w:val="000000" w:themeColor="text1"/>
                <w:kern w:val="24"/>
                <w:sz w:val="21"/>
                <w:szCs w:val="21"/>
                <w14:textFill>
                  <w14:solidFill>
                    <w14:schemeClr w14:val="tx1"/>
                  </w14:solidFill>
                </w14:textFill>
              </w:rPr>
              <w:t>19</w:t>
            </w:r>
          </w:p>
        </w:tc>
        <w:tc>
          <w:tcPr>
            <w:tcW w:w="4110" w:type="dxa"/>
            <w:shd w:val="clear" w:color="auto" w:fill="auto"/>
            <w:tcMar>
              <w:top w:w="72" w:type="dxa"/>
              <w:left w:w="144" w:type="dxa"/>
              <w:bottom w:w="72" w:type="dxa"/>
              <w:right w:w="144" w:type="dxa"/>
            </w:tcMar>
            <w:vAlign w:val="center"/>
          </w:tcPr>
          <w:p w14:paraId="2023E991">
            <w:pPr>
              <w:kinsoku/>
              <w:autoSpaceDE/>
              <w:autoSpaceDN/>
              <w:adjustRightInd/>
              <w:snapToGrid/>
              <w:spacing w:before="0" w:line="240" w:lineRule="auto"/>
              <w:textAlignment w:val="auto"/>
              <w:rPr>
                <w:rFonts w:ascii="Arial" w:hAnsi="Arial" w:eastAsia="宋体" w:cs="Arial"/>
                <w:b w:val="0"/>
                <w:bCs w:val="0"/>
                <w:snapToGrid/>
                <w:color w:val="auto"/>
                <w:sz w:val="21"/>
                <w:szCs w:val="21"/>
              </w:rPr>
            </w:pPr>
            <w:r>
              <w:rPr>
                <w:rFonts w:hint="eastAsia" w:ascii="宋体" w:hAnsi="宋体" w:eastAsia="宋体" w:cs="Arial"/>
                <w:b w:val="0"/>
                <w:bCs w:val="0"/>
                <w:snapToGrid/>
                <w:color w:val="000000" w:themeColor="text1"/>
                <w:kern w:val="24"/>
                <w:sz w:val="21"/>
                <w:szCs w:val="21"/>
                <w14:textFill>
                  <w14:solidFill>
                    <w14:schemeClr w14:val="tx1"/>
                  </w14:solidFill>
                </w14:textFill>
              </w:rPr>
              <w:t>《特种作业人员安全技术培训考核管理规定》</w:t>
            </w:r>
          </w:p>
        </w:tc>
      </w:tr>
      <w:tr w14:paraId="074C0EB1">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0" w:type="dxa"/>
            <w:bottom w:w="0" w:type="dxa"/>
            <w:right w:w="0" w:type="dxa"/>
          </w:tblCellMar>
        </w:tblPrEx>
        <w:trPr>
          <w:trHeight w:val="626" w:hRule="atLeast"/>
        </w:trPr>
        <w:tc>
          <w:tcPr>
            <w:tcW w:w="709" w:type="dxa"/>
            <w:shd w:val="clear" w:color="auto" w:fill="auto"/>
            <w:tcMar>
              <w:top w:w="72" w:type="dxa"/>
              <w:left w:w="144" w:type="dxa"/>
              <w:bottom w:w="72" w:type="dxa"/>
              <w:right w:w="144" w:type="dxa"/>
            </w:tcMar>
            <w:vAlign w:val="center"/>
          </w:tcPr>
          <w:p w14:paraId="7EEC9C2A">
            <w:pPr>
              <w:kinsoku/>
              <w:autoSpaceDE/>
              <w:autoSpaceDN/>
              <w:adjustRightInd/>
              <w:snapToGrid/>
              <w:spacing w:before="0" w:line="240" w:lineRule="auto"/>
              <w:textAlignment w:val="auto"/>
              <w:rPr>
                <w:rFonts w:ascii="Arial" w:hAnsi="Arial" w:eastAsia="宋体" w:cs="Arial"/>
                <w:b w:val="0"/>
                <w:bCs w:val="0"/>
                <w:snapToGrid/>
                <w:color w:val="auto"/>
                <w:sz w:val="21"/>
                <w:szCs w:val="21"/>
              </w:rPr>
            </w:pPr>
            <w:r>
              <w:rPr>
                <w:rFonts w:hint="eastAsia" w:ascii="宋体" w:hAnsi="宋体" w:eastAsia="宋体" w:cs="Arial"/>
                <w:b w:val="0"/>
                <w:bCs w:val="0"/>
                <w:snapToGrid/>
                <w:color w:val="000000" w:themeColor="text1"/>
                <w:kern w:val="24"/>
                <w:sz w:val="21"/>
                <w:szCs w:val="21"/>
                <w14:textFill>
                  <w14:solidFill>
                    <w14:schemeClr w14:val="tx1"/>
                  </w14:solidFill>
                </w14:textFill>
              </w:rPr>
              <w:t>9</w:t>
            </w:r>
          </w:p>
        </w:tc>
        <w:tc>
          <w:tcPr>
            <w:tcW w:w="3544" w:type="dxa"/>
            <w:shd w:val="clear" w:color="auto" w:fill="auto"/>
            <w:tcMar>
              <w:top w:w="72" w:type="dxa"/>
              <w:left w:w="144" w:type="dxa"/>
              <w:bottom w:w="72" w:type="dxa"/>
              <w:right w:w="144" w:type="dxa"/>
            </w:tcMar>
            <w:vAlign w:val="center"/>
          </w:tcPr>
          <w:p w14:paraId="59881189">
            <w:pPr>
              <w:kinsoku/>
              <w:autoSpaceDE/>
              <w:autoSpaceDN/>
              <w:adjustRightInd/>
              <w:snapToGrid/>
              <w:spacing w:before="0" w:line="240" w:lineRule="auto"/>
              <w:textAlignment w:val="auto"/>
              <w:rPr>
                <w:rFonts w:ascii="Arial" w:hAnsi="Arial" w:eastAsia="宋体" w:cs="Arial"/>
                <w:b w:val="0"/>
                <w:bCs w:val="0"/>
                <w:snapToGrid/>
                <w:color w:val="auto"/>
                <w:sz w:val="21"/>
                <w:szCs w:val="21"/>
              </w:rPr>
            </w:pPr>
            <w:r>
              <w:rPr>
                <w:rFonts w:hint="eastAsia" w:ascii="宋体" w:hAnsi="宋体" w:eastAsia="宋体" w:cs="Arial"/>
                <w:b w:val="0"/>
                <w:bCs w:val="0"/>
                <w:snapToGrid/>
                <w:color w:val="000000" w:themeColor="text1"/>
                <w:kern w:val="24"/>
                <w:sz w:val="21"/>
                <w:szCs w:val="21"/>
                <w14:textFill>
                  <w14:solidFill>
                    <w14:schemeClr w14:val="tx1"/>
                  </w14:solidFill>
                </w14:textFill>
              </w:rPr>
              <w:t>《安全生产许可条例》</w:t>
            </w:r>
          </w:p>
        </w:tc>
        <w:tc>
          <w:tcPr>
            <w:tcW w:w="851" w:type="dxa"/>
            <w:shd w:val="clear" w:color="auto" w:fill="auto"/>
            <w:tcMar>
              <w:top w:w="72" w:type="dxa"/>
              <w:left w:w="144" w:type="dxa"/>
              <w:bottom w:w="72" w:type="dxa"/>
              <w:right w:w="144" w:type="dxa"/>
            </w:tcMar>
            <w:vAlign w:val="center"/>
          </w:tcPr>
          <w:p w14:paraId="0C4046D9">
            <w:pPr>
              <w:kinsoku/>
              <w:autoSpaceDE/>
              <w:autoSpaceDN/>
              <w:adjustRightInd/>
              <w:snapToGrid/>
              <w:spacing w:before="0" w:line="240" w:lineRule="auto"/>
              <w:textAlignment w:val="auto"/>
              <w:rPr>
                <w:rFonts w:ascii="Arial" w:hAnsi="Arial" w:eastAsia="宋体" w:cs="Arial"/>
                <w:b w:val="0"/>
                <w:bCs w:val="0"/>
                <w:snapToGrid/>
                <w:color w:val="auto"/>
                <w:sz w:val="21"/>
                <w:szCs w:val="21"/>
              </w:rPr>
            </w:pPr>
            <w:r>
              <w:rPr>
                <w:rFonts w:hint="eastAsia" w:ascii="宋体" w:hAnsi="宋体" w:eastAsia="宋体" w:cs="Arial"/>
                <w:b w:val="0"/>
                <w:bCs w:val="0"/>
                <w:snapToGrid/>
                <w:color w:val="000000" w:themeColor="text1"/>
                <w:kern w:val="24"/>
                <w:sz w:val="21"/>
                <w:szCs w:val="21"/>
                <w14:textFill>
                  <w14:solidFill>
                    <w14:schemeClr w14:val="tx1"/>
                  </w14:solidFill>
                </w14:textFill>
              </w:rPr>
              <w:t>20</w:t>
            </w:r>
          </w:p>
        </w:tc>
        <w:tc>
          <w:tcPr>
            <w:tcW w:w="4110" w:type="dxa"/>
            <w:shd w:val="clear" w:color="auto" w:fill="auto"/>
            <w:tcMar>
              <w:top w:w="72" w:type="dxa"/>
              <w:left w:w="144" w:type="dxa"/>
              <w:bottom w:w="72" w:type="dxa"/>
              <w:right w:w="144" w:type="dxa"/>
            </w:tcMar>
            <w:vAlign w:val="center"/>
          </w:tcPr>
          <w:p w14:paraId="1DED5525">
            <w:pPr>
              <w:kinsoku/>
              <w:autoSpaceDE/>
              <w:autoSpaceDN/>
              <w:adjustRightInd/>
              <w:snapToGrid/>
              <w:spacing w:before="0" w:line="240" w:lineRule="auto"/>
              <w:textAlignment w:val="auto"/>
              <w:rPr>
                <w:rFonts w:ascii="Arial" w:hAnsi="Arial" w:eastAsia="宋体" w:cs="Arial"/>
                <w:b w:val="0"/>
                <w:bCs w:val="0"/>
                <w:snapToGrid/>
                <w:color w:val="auto"/>
                <w:sz w:val="21"/>
                <w:szCs w:val="21"/>
              </w:rPr>
            </w:pPr>
            <w:r>
              <w:rPr>
                <w:rFonts w:hint="eastAsia" w:ascii="宋体" w:hAnsi="宋体" w:eastAsia="宋体" w:cs="Arial"/>
                <w:b w:val="0"/>
                <w:bCs w:val="0"/>
                <w:snapToGrid/>
                <w:color w:val="000000" w:themeColor="text1"/>
                <w:kern w:val="24"/>
                <w:sz w:val="21"/>
                <w:szCs w:val="21"/>
                <w14:textFill>
                  <w14:solidFill>
                    <w14:schemeClr w14:val="tx1"/>
                  </w14:solidFill>
                </w14:textFill>
              </w:rPr>
              <w:t>《安全生产事故应急预案管理办法》</w:t>
            </w:r>
          </w:p>
        </w:tc>
      </w:tr>
      <w:tr w14:paraId="735B086A">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0" w:type="dxa"/>
            <w:bottom w:w="0" w:type="dxa"/>
            <w:right w:w="0" w:type="dxa"/>
          </w:tblCellMar>
        </w:tblPrEx>
        <w:trPr>
          <w:trHeight w:val="626" w:hRule="atLeast"/>
        </w:trPr>
        <w:tc>
          <w:tcPr>
            <w:tcW w:w="709" w:type="dxa"/>
            <w:shd w:val="clear" w:color="auto" w:fill="auto"/>
            <w:tcMar>
              <w:top w:w="72" w:type="dxa"/>
              <w:left w:w="144" w:type="dxa"/>
              <w:bottom w:w="72" w:type="dxa"/>
              <w:right w:w="144" w:type="dxa"/>
            </w:tcMar>
            <w:vAlign w:val="center"/>
          </w:tcPr>
          <w:p w14:paraId="7449CFC2">
            <w:pPr>
              <w:kinsoku/>
              <w:autoSpaceDE/>
              <w:autoSpaceDN/>
              <w:adjustRightInd/>
              <w:snapToGrid/>
              <w:spacing w:before="0" w:line="240" w:lineRule="auto"/>
              <w:textAlignment w:val="auto"/>
              <w:rPr>
                <w:rFonts w:ascii="Arial" w:hAnsi="Arial" w:eastAsia="宋体" w:cs="Arial"/>
                <w:b w:val="0"/>
                <w:bCs w:val="0"/>
                <w:snapToGrid/>
                <w:color w:val="auto"/>
                <w:sz w:val="21"/>
                <w:szCs w:val="21"/>
              </w:rPr>
            </w:pPr>
            <w:r>
              <w:rPr>
                <w:rFonts w:hint="eastAsia" w:ascii="宋体" w:hAnsi="宋体" w:eastAsia="宋体" w:cs="Arial"/>
                <w:b w:val="0"/>
                <w:bCs w:val="0"/>
                <w:snapToGrid/>
                <w:color w:val="000000" w:themeColor="text1"/>
                <w:kern w:val="24"/>
                <w:sz w:val="21"/>
                <w:szCs w:val="21"/>
                <w14:textFill>
                  <w14:solidFill>
                    <w14:schemeClr w14:val="tx1"/>
                  </w14:solidFill>
                </w14:textFill>
              </w:rPr>
              <w:t>10</w:t>
            </w:r>
          </w:p>
        </w:tc>
        <w:tc>
          <w:tcPr>
            <w:tcW w:w="3544" w:type="dxa"/>
            <w:shd w:val="clear" w:color="auto" w:fill="auto"/>
            <w:tcMar>
              <w:top w:w="72" w:type="dxa"/>
              <w:left w:w="144" w:type="dxa"/>
              <w:bottom w:w="72" w:type="dxa"/>
              <w:right w:w="144" w:type="dxa"/>
            </w:tcMar>
            <w:vAlign w:val="center"/>
          </w:tcPr>
          <w:p w14:paraId="4C2A0F2F">
            <w:pPr>
              <w:kinsoku/>
              <w:autoSpaceDE/>
              <w:autoSpaceDN/>
              <w:adjustRightInd/>
              <w:snapToGrid/>
              <w:spacing w:before="0" w:line="240" w:lineRule="auto"/>
              <w:textAlignment w:val="auto"/>
              <w:rPr>
                <w:rFonts w:ascii="Arial" w:hAnsi="Arial" w:eastAsia="宋体" w:cs="Arial"/>
                <w:b w:val="0"/>
                <w:bCs w:val="0"/>
                <w:snapToGrid/>
                <w:color w:val="auto"/>
                <w:sz w:val="21"/>
                <w:szCs w:val="21"/>
              </w:rPr>
            </w:pPr>
            <w:r>
              <w:rPr>
                <w:rFonts w:hint="eastAsia" w:ascii="宋体" w:hAnsi="宋体" w:eastAsia="宋体" w:cs="Arial"/>
                <w:b w:val="0"/>
                <w:bCs w:val="0"/>
                <w:snapToGrid/>
                <w:color w:val="000000" w:themeColor="text1"/>
                <w:kern w:val="24"/>
                <w:sz w:val="21"/>
                <w:szCs w:val="21"/>
                <w14:textFill>
                  <w14:solidFill>
                    <w14:schemeClr w14:val="tx1"/>
                  </w14:solidFill>
                </w14:textFill>
              </w:rPr>
              <w:t>《特种设备安全监察条例》</w:t>
            </w:r>
          </w:p>
        </w:tc>
        <w:tc>
          <w:tcPr>
            <w:tcW w:w="851" w:type="dxa"/>
            <w:shd w:val="clear" w:color="auto" w:fill="auto"/>
            <w:tcMar>
              <w:top w:w="72" w:type="dxa"/>
              <w:left w:w="144" w:type="dxa"/>
              <w:bottom w:w="72" w:type="dxa"/>
              <w:right w:w="144" w:type="dxa"/>
            </w:tcMar>
            <w:vAlign w:val="center"/>
          </w:tcPr>
          <w:p w14:paraId="2AD1F49E">
            <w:pPr>
              <w:kinsoku/>
              <w:autoSpaceDE/>
              <w:autoSpaceDN/>
              <w:adjustRightInd/>
              <w:snapToGrid/>
              <w:spacing w:before="0" w:line="240" w:lineRule="auto"/>
              <w:textAlignment w:val="auto"/>
              <w:rPr>
                <w:rFonts w:ascii="Arial" w:hAnsi="Arial" w:eastAsia="宋体" w:cs="Arial"/>
                <w:b w:val="0"/>
                <w:bCs w:val="0"/>
                <w:snapToGrid/>
                <w:color w:val="auto"/>
                <w:sz w:val="21"/>
                <w:szCs w:val="21"/>
              </w:rPr>
            </w:pPr>
            <w:r>
              <w:rPr>
                <w:rFonts w:hint="eastAsia" w:ascii="宋体" w:hAnsi="宋体" w:eastAsia="宋体" w:cs="Arial"/>
                <w:b w:val="0"/>
                <w:bCs w:val="0"/>
                <w:snapToGrid/>
                <w:color w:val="000000" w:themeColor="text1"/>
                <w:kern w:val="24"/>
                <w:sz w:val="21"/>
                <w:szCs w:val="21"/>
                <w14:textFill>
                  <w14:solidFill>
                    <w14:schemeClr w14:val="tx1"/>
                  </w14:solidFill>
                </w14:textFill>
              </w:rPr>
              <w:t>21</w:t>
            </w:r>
          </w:p>
        </w:tc>
        <w:tc>
          <w:tcPr>
            <w:tcW w:w="4110" w:type="dxa"/>
            <w:shd w:val="clear" w:color="auto" w:fill="auto"/>
            <w:tcMar>
              <w:top w:w="72" w:type="dxa"/>
              <w:left w:w="144" w:type="dxa"/>
              <w:bottom w:w="72" w:type="dxa"/>
              <w:right w:w="144" w:type="dxa"/>
            </w:tcMar>
            <w:vAlign w:val="center"/>
          </w:tcPr>
          <w:p w14:paraId="05D22018">
            <w:pPr>
              <w:kinsoku/>
              <w:autoSpaceDE/>
              <w:autoSpaceDN/>
              <w:adjustRightInd/>
              <w:snapToGrid/>
              <w:spacing w:before="0" w:line="240" w:lineRule="auto"/>
              <w:textAlignment w:val="auto"/>
              <w:rPr>
                <w:rFonts w:ascii="Arial" w:hAnsi="Arial" w:eastAsia="宋体" w:cs="Arial"/>
                <w:b w:val="0"/>
                <w:bCs w:val="0"/>
                <w:snapToGrid/>
                <w:color w:val="auto"/>
                <w:sz w:val="21"/>
                <w:szCs w:val="21"/>
              </w:rPr>
            </w:pPr>
            <w:r>
              <w:rPr>
                <w:rFonts w:hint="eastAsia" w:ascii="宋体" w:hAnsi="宋体" w:eastAsia="宋体" w:cs="Arial"/>
                <w:b w:val="0"/>
                <w:bCs w:val="0"/>
                <w:snapToGrid/>
                <w:color w:val="000000" w:themeColor="text1"/>
                <w:kern w:val="24"/>
                <w:sz w:val="21"/>
                <w:szCs w:val="21"/>
                <w14:textFill>
                  <w14:solidFill>
                    <w14:schemeClr w14:val="tx1"/>
                  </w14:solidFill>
                </w14:textFill>
              </w:rPr>
              <w:t>《有限空间作业安全规定（征求意见稿）》</w:t>
            </w:r>
          </w:p>
        </w:tc>
      </w:tr>
      <w:tr w14:paraId="363A604C">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0" w:type="dxa"/>
            <w:bottom w:w="0" w:type="dxa"/>
            <w:right w:w="0" w:type="dxa"/>
          </w:tblCellMar>
        </w:tblPrEx>
        <w:trPr>
          <w:trHeight w:val="626" w:hRule="atLeast"/>
        </w:trPr>
        <w:tc>
          <w:tcPr>
            <w:tcW w:w="709" w:type="dxa"/>
            <w:shd w:val="clear" w:color="auto" w:fill="auto"/>
            <w:tcMar>
              <w:top w:w="72" w:type="dxa"/>
              <w:left w:w="144" w:type="dxa"/>
              <w:bottom w:w="72" w:type="dxa"/>
              <w:right w:w="144" w:type="dxa"/>
            </w:tcMar>
            <w:vAlign w:val="center"/>
          </w:tcPr>
          <w:p w14:paraId="73D1FD9F">
            <w:pPr>
              <w:kinsoku/>
              <w:autoSpaceDE/>
              <w:autoSpaceDN/>
              <w:adjustRightInd/>
              <w:snapToGrid/>
              <w:spacing w:before="0" w:line="240" w:lineRule="auto"/>
              <w:textAlignment w:val="auto"/>
              <w:rPr>
                <w:rFonts w:ascii="Arial" w:hAnsi="Arial" w:eastAsia="宋体" w:cs="Arial"/>
                <w:b w:val="0"/>
                <w:bCs w:val="0"/>
                <w:snapToGrid/>
                <w:color w:val="auto"/>
                <w:sz w:val="21"/>
                <w:szCs w:val="21"/>
              </w:rPr>
            </w:pPr>
            <w:r>
              <w:rPr>
                <w:rFonts w:hint="eastAsia" w:ascii="宋体" w:hAnsi="宋体" w:eastAsia="宋体" w:cs="Arial"/>
                <w:b w:val="0"/>
                <w:bCs w:val="0"/>
                <w:snapToGrid/>
                <w:color w:val="000000" w:themeColor="text1"/>
                <w:kern w:val="24"/>
                <w:sz w:val="21"/>
                <w:szCs w:val="21"/>
                <w14:textFill>
                  <w14:solidFill>
                    <w14:schemeClr w14:val="tx1"/>
                  </w14:solidFill>
                </w14:textFill>
              </w:rPr>
              <w:t>11</w:t>
            </w:r>
          </w:p>
        </w:tc>
        <w:tc>
          <w:tcPr>
            <w:tcW w:w="3544" w:type="dxa"/>
            <w:shd w:val="clear" w:color="auto" w:fill="auto"/>
            <w:tcMar>
              <w:top w:w="72" w:type="dxa"/>
              <w:left w:w="144" w:type="dxa"/>
              <w:bottom w:w="72" w:type="dxa"/>
              <w:right w:w="144" w:type="dxa"/>
            </w:tcMar>
            <w:vAlign w:val="center"/>
          </w:tcPr>
          <w:p w14:paraId="569036D4">
            <w:pPr>
              <w:kinsoku/>
              <w:autoSpaceDE/>
              <w:autoSpaceDN/>
              <w:adjustRightInd/>
              <w:snapToGrid/>
              <w:spacing w:before="0" w:line="240" w:lineRule="auto"/>
              <w:textAlignment w:val="auto"/>
              <w:rPr>
                <w:rFonts w:ascii="Arial" w:hAnsi="Arial" w:eastAsia="宋体" w:cs="Arial"/>
                <w:b w:val="0"/>
                <w:bCs w:val="0"/>
                <w:snapToGrid/>
                <w:color w:val="auto"/>
                <w:sz w:val="21"/>
                <w:szCs w:val="21"/>
              </w:rPr>
            </w:pPr>
            <w:r>
              <w:rPr>
                <w:rFonts w:hint="eastAsia" w:ascii="宋体" w:hAnsi="宋体" w:eastAsia="宋体" w:cs="Arial"/>
                <w:b w:val="0"/>
                <w:bCs w:val="0"/>
                <w:snapToGrid/>
                <w:color w:val="000000" w:themeColor="text1"/>
                <w:kern w:val="24"/>
                <w:sz w:val="21"/>
                <w:szCs w:val="21"/>
                <w14:textFill>
                  <w14:solidFill>
                    <w14:schemeClr w14:val="tx1"/>
                  </w14:solidFill>
                </w14:textFill>
              </w:rPr>
              <w:t>《危险化学品安全管理条例》</w:t>
            </w:r>
          </w:p>
        </w:tc>
        <w:tc>
          <w:tcPr>
            <w:tcW w:w="851" w:type="dxa"/>
            <w:shd w:val="clear" w:color="auto" w:fill="auto"/>
            <w:tcMar>
              <w:top w:w="72" w:type="dxa"/>
              <w:left w:w="144" w:type="dxa"/>
              <w:bottom w:w="72" w:type="dxa"/>
              <w:right w:w="144" w:type="dxa"/>
            </w:tcMar>
            <w:vAlign w:val="center"/>
          </w:tcPr>
          <w:p w14:paraId="0A41AB46">
            <w:pPr>
              <w:kinsoku/>
              <w:autoSpaceDE/>
              <w:autoSpaceDN/>
              <w:adjustRightInd/>
              <w:snapToGrid/>
              <w:spacing w:before="0" w:line="240" w:lineRule="auto"/>
              <w:textAlignment w:val="auto"/>
              <w:rPr>
                <w:rFonts w:ascii="Arial" w:hAnsi="Arial" w:eastAsia="宋体" w:cs="Arial"/>
                <w:b w:val="0"/>
                <w:bCs w:val="0"/>
                <w:snapToGrid/>
                <w:color w:val="auto"/>
                <w:sz w:val="21"/>
                <w:szCs w:val="21"/>
              </w:rPr>
            </w:pPr>
          </w:p>
        </w:tc>
        <w:tc>
          <w:tcPr>
            <w:tcW w:w="4110" w:type="dxa"/>
            <w:shd w:val="clear" w:color="auto" w:fill="auto"/>
            <w:tcMar>
              <w:top w:w="72" w:type="dxa"/>
              <w:left w:w="144" w:type="dxa"/>
              <w:bottom w:w="72" w:type="dxa"/>
              <w:right w:w="144" w:type="dxa"/>
            </w:tcMar>
            <w:vAlign w:val="center"/>
          </w:tcPr>
          <w:p w14:paraId="4DE12B71">
            <w:pPr>
              <w:kinsoku/>
              <w:autoSpaceDE/>
              <w:autoSpaceDN/>
              <w:adjustRightInd/>
              <w:snapToGrid/>
              <w:spacing w:before="0" w:line="240" w:lineRule="auto"/>
              <w:textAlignment w:val="auto"/>
              <w:rPr>
                <w:rFonts w:ascii="Arial" w:hAnsi="Arial" w:eastAsia="宋体" w:cs="Arial"/>
                <w:b w:val="0"/>
                <w:bCs w:val="0"/>
                <w:snapToGrid/>
                <w:color w:val="auto"/>
                <w:sz w:val="21"/>
                <w:szCs w:val="21"/>
              </w:rPr>
            </w:pPr>
          </w:p>
        </w:tc>
      </w:tr>
    </w:tbl>
    <w:p w14:paraId="69B407C6">
      <w:pPr>
        <w:pStyle w:val="3"/>
        <w:spacing w:before="0" w:line="520" w:lineRule="exact"/>
        <w:jc w:val="both"/>
        <w:rPr>
          <w:bCs w:val="0"/>
          <w:sz w:val="32"/>
          <w:szCs w:val="32"/>
          <w:lang w:eastAsia="zh-CN"/>
        </w:rPr>
      </w:pPr>
    </w:p>
    <w:p w14:paraId="1D4C5029">
      <w:pPr>
        <w:pStyle w:val="3"/>
        <w:spacing w:before="0" w:line="520" w:lineRule="exact"/>
        <w:jc w:val="both"/>
        <w:rPr>
          <w:bCs w:val="0"/>
          <w:sz w:val="32"/>
          <w:szCs w:val="32"/>
          <w:lang w:eastAsia="zh-CN"/>
        </w:rPr>
      </w:pPr>
    </w:p>
    <w:p w14:paraId="1EE9785F">
      <w:pPr>
        <w:pStyle w:val="3"/>
        <w:spacing w:before="0" w:line="520" w:lineRule="exact"/>
        <w:jc w:val="both"/>
        <w:rPr>
          <w:bCs w:val="0"/>
          <w:sz w:val="32"/>
          <w:szCs w:val="32"/>
          <w:lang w:eastAsia="zh-CN"/>
        </w:rPr>
        <w:sectPr>
          <w:pgSz w:w="11900" w:h="16840"/>
          <w:pgMar w:top="1431" w:right="1235" w:bottom="1224" w:left="1700" w:header="0" w:footer="935" w:gutter="0"/>
          <w:cols w:space="720" w:num="1"/>
        </w:sectPr>
      </w:pPr>
    </w:p>
    <w:p w14:paraId="727C2C95">
      <w:pPr>
        <w:pStyle w:val="3"/>
        <w:spacing w:before="0" w:line="520" w:lineRule="exact"/>
        <w:jc w:val="both"/>
        <w:rPr>
          <w:bCs w:val="0"/>
          <w:sz w:val="32"/>
          <w:szCs w:val="32"/>
          <w:lang w:eastAsia="zh-CN"/>
        </w:rPr>
      </w:pPr>
      <w:r>
        <w:rPr>
          <w:rFonts w:hint="eastAsia"/>
          <w:bCs w:val="0"/>
          <w:sz w:val="32"/>
          <w:szCs w:val="32"/>
          <w:lang w:eastAsia="zh-CN"/>
        </w:rPr>
        <w:t xml:space="preserve">附件2 </w:t>
      </w:r>
    </w:p>
    <w:p w14:paraId="27E0D5D6">
      <w:pPr>
        <w:pStyle w:val="3"/>
        <w:spacing w:before="0" w:line="520" w:lineRule="exact"/>
        <w:ind w:firstLine="1446" w:firstLineChars="400"/>
        <w:jc w:val="both"/>
        <w:rPr>
          <w:b w:val="0"/>
          <w:sz w:val="36"/>
          <w:szCs w:val="36"/>
          <w:lang w:eastAsia="zh-CN"/>
        </w:rPr>
      </w:pPr>
      <w:r>
        <w:rPr>
          <w:rFonts w:hint="eastAsia"/>
          <w:bCs w:val="0"/>
          <w:sz w:val="36"/>
          <w:szCs w:val="36"/>
          <w:lang w:eastAsia="zh-CN"/>
        </w:rPr>
        <w:t>体育赛事安全应执行的规范和标准 一览表</w:t>
      </w:r>
    </w:p>
    <w:p w14:paraId="5D063AC8">
      <w:pPr>
        <w:pStyle w:val="3"/>
        <w:spacing w:before="0" w:line="520" w:lineRule="exact"/>
        <w:jc w:val="both"/>
        <w:rPr>
          <w:b w:val="0"/>
          <w:sz w:val="32"/>
          <w:szCs w:val="32"/>
          <w:lang w:eastAsia="zh-CN"/>
        </w:rPr>
      </w:pPr>
    </w:p>
    <w:tbl>
      <w:tblPr>
        <w:tblStyle w:val="10"/>
        <w:tblW w:w="9214" w:type="dxa"/>
        <w:tblInd w:w="-152" w:type="dxa"/>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Layout w:type="fixed"/>
        <w:tblCellMar>
          <w:top w:w="0" w:type="dxa"/>
          <w:left w:w="0" w:type="dxa"/>
          <w:bottom w:w="0" w:type="dxa"/>
          <w:right w:w="0" w:type="dxa"/>
        </w:tblCellMar>
      </w:tblPr>
      <w:tblGrid>
        <w:gridCol w:w="709"/>
        <w:gridCol w:w="3544"/>
        <w:gridCol w:w="851"/>
        <w:gridCol w:w="4110"/>
      </w:tblGrid>
      <w:tr w14:paraId="0BDA7D74">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0" w:type="dxa"/>
            <w:bottom w:w="0" w:type="dxa"/>
            <w:right w:w="0" w:type="dxa"/>
          </w:tblCellMar>
        </w:tblPrEx>
        <w:trPr>
          <w:trHeight w:val="626" w:hRule="atLeast"/>
        </w:trPr>
        <w:tc>
          <w:tcPr>
            <w:tcW w:w="709" w:type="dxa"/>
            <w:shd w:val="clear" w:color="auto" w:fill="auto"/>
            <w:tcMar>
              <w:top w:w="72" w:type="dxa"/>
              <w:left w:w="144" w:type="dxa"/>
              <w:bottom w:w="72" w:type="dxa"/>
              <w:right w:w="144" w:type="dxa"/>
            </w:tcMar>
            <w:vAlign w:val="center"/>
          </w:tcPr>
          <w:p w14:paraId="2E557A5B">
            <w:pPr>
              <w:kinsoku/>
              <w:autoSpaceDE/>
              <w:autoSpaceDN/>
              <w:adjustRightInd/>
              <w:snapToGrid/>
              <w:spacing w:before="0" w:line="240" w:lineRule="auto"/>
              <w:textAlignment w:val="auto"/>
              <w:rPr>
                <w:rFonts w:ascii="宋体" w:hAnsi="宋体" w:eastAsia="宋体" w:cs="Arial"/>
                <w:b w:val="0"/>
                <w:bCs w:val="0"/>
                <w:snapToGrid/>
                <w:color w:val="000000" w:themeColor="text1"/>
                <w:kern w:val="24"/>
                <w:sz w:val="21"/>
                <w:szCs w:val="21"/>
                <w14:textFill>
                  <w14:solidFill>
                    <w14:schemeClr w14:val="tx1"/>
                  </w14:solidFill>
                </w14:textFill>
              </w:rPr>
            </w:pPr>
            <w:r>
              <w:rPr>
                <w:rFonts w:hint="eastAsia" w:ascii="宋体" w:hAnsi="宋体" w:eastAsia="宋体" w:cs="Arial"/>
                <w:b w:val="0"/>
                <w:bCs w:val="0"/>
                <w:snapToGrid/>
                <w:color w:val="000000" w:themeColor="text1"/>
                <w:kern w:val="24"/>
                <w:sz w:val="21"/>
                <w:szCs w:val="21"/>
                <w14:textFill>
                  <w14:solidFill>
                    <w14:schemeClr w14:val="tx1"/>
                  </w14:solidFill>
                </w14:textFill>
              </w:rPr>
              <w:t>序号</w:t>
            </w:r>
          </w:p>
        </w:tc>
        <w:tc>
          <w:tcPr>
            <w:tcW w:w="3544" w:type="dxa"/>
            <w:shd w:val="clear" w:color="auto" w:fill="auto"/>
            <w:tcMar>
              <w:top w:w="72" w:type="dxa"/>
              <w:left w:w="144" w:type="dxa"/>
              <w:bottom w:w="72" w:type="dxa"/>
              <w:right w:w="144" w:type="dxa"/>
            </w:tcMar>
            <w:vAlign w:val="center"/>
          </w:tcPr>
          <w:p w14:paraId="66235D46">
            <w:pPr>
              <w:kinsoku/>
              <w:autoSpaceDE/>
              <w:autoSpaceDN/>
              <w:adjustRightInd/>
              <w:snapToGrid/>
              <w:spacing w:before="0" w:line="240" w:lineRule="auto"/>
              <w:textAlignment w:val="auto"/>
              <w:rPr>
                <w:rFonts w:ascii="宋体" w:hAnsi="宋体" w:eastAsia="宋体" w:cs="Arial"/>
                <w:b w:val="0"/>
                <w:bCs w:val="0"/>
                <w:snapToGrid/>
                <w:color w:val="000000" w:themeColor="text1"/>
                <w:kern w:val="24"/>
                <w:sz w:val="21"/>
                <w:szCs w:val="21"/>
                <w14:textFill>
                  <w14:solidFill>
                    <w14:schemeClr w14:val="tx1"/>
                  </w14:solidFill>
                </w14:textFill>
              </w:rPr>
            </w:pPr>
            <w:r>
              <w:rPr>
                <w:rFonts w:hint="eastAsia" w:ascii="宋体" w:hAnsi="宋体" w:eastAsia="宋体" w:cs="Arial"/>
                <w:b w:val="0"/>
                <w:bCs w:val="0"/>
                <w:snapToGrid/>
                <w:color w:val="000000" w:themeColor="text1"/>
                <w:kern w:val="24"/>
                <w:sz w:val="21"/>
                <w:szCs w:val="21"/>
                <w14:textFill>
                  <w14:solidFill>
                    <w14:schemeClr w14:val="tx1"/>
                  </w14:solidFill>
                </w14:textFill>
              </w:rPr>
              <w:t>文件名</w:t>
            </w:r>
          </w:p>
        </w:tc>
        <w:tc>
          <w:tcPr>
            <w:tcW w:w="851" w:type="dxa"/>
            <w:shd w:val="clear" w:color="auto" w:fill="auto"/>
            <w:tcMar>
              <w:top w:w="72" w:type="dxa"/>
              <w:left w:w="144" w:type="dxa"/>
              <w:bottom w:w="72" w:type="dxa"/>
              <w:right w:w="144" w:type="dxa"/>
            </w:tcMar>
            <w:vAlign w:val="center"/>
          </w:tcPr>
          <w:p w14:paraId="3CDE91A3">
            <w:pPr>
              <w:kinsoku/>
              <w:autoSpaceDE/>
              <w:autoSpaceDN/>
              <w:adjustRightInd/>
              <w:snapToGrid/>
              <w:spacing w:before="0" w:line="240" w:lineRule="auto"/>
              <w:textAlignment w:val="auto"/>
              <w:rPr>
                <w:rFonts w:ascii="Arial" w:hAnsi="Arial" w:eastAsia="宋体" w:cs="Arial"/>
                <w:b w:val="0"/>
                <w:bCs w:val="0"/>
                <w:snapToGrid/>
                <w:color w:val="auto"/>
                <w:sz w:val="21"/>
                <w:szCs w:val="21"/>
              </w:rPr>
            </w:pPr>
            <w:r>
              <w:rPr>
                <w:rFonts w:hint="eastAsia" w:ascii="宋体" w:hAnsi="宋体" w:eastAsia="宋体" w:cs="Arial"/>
                <w:b w:val="0"/>
                <w:bCs w:val="0"/>
                <w:snapToGrid/>
                <w:color w:val="000000" w:themeColor="text1"/>
                <w:kern w:val="24"/>
                <w:sz w:val="21"/>
                <w:szCs w:val="21"/>
                <w14:textFill>
                  <w14:solidFill>
                    <w14:schemeClr w14:val="tx1"/>
                  </w14:solidFill>
                </w14:textFill>
              </w:rPr>
              <w:t>序号</w:t>
            </w:r>
          </w:p>
        </w:tc>
        <w:tc>
          <w:tcPr>
            <w:tcW w:w="4110" w:type="dxa"/>
            <w:shd w:val="clear" w:color="auto" w:fill="auto"/>
            <w:tcMar>
              <w:top w:w="72" w:type="dxa"/>
              <w:left w:w="144" w:type="dxa"/>
              <w:bottom w:w="72" w:type="dxa"/>
              <w:right w:w="144" w:type="dxa"/>
            </w:tcMar>
            <w:vAlign w:val="center"/>
          </w:tcPr>
          <w:p w14:paraId="1C2F28DF">
            <w:pPr>
              <w:kinsoku/>
              <w:autoSpaceDE/>
              <w:autoSpaceDN/>
              <w:adjustRightInd/>
              <w:snapToGrid/>
              <w:spacing w:before="0" w:line="240" w:lineRule="auto"/>
              <w:textAlignment w:val="auto"/>
              <w:rPr>
                <w:rFonts w:ascii="Arial" w:hAnsi="Arial" w:eastAsia="宋体" w:cs="Arial"/>
                <w:b w:val="0"/>
                <w:bCs w:val="0"/>
                <w:snapToGrid/>
                <w:color w:val="auto"/>
                <w:sz w:val="21"/>
                <w:szCs w:val="21"/>
              </w:rPr>
            </w:pPr>
            <w:r>
              <w:rPr>
                <w:rFonts w:hint="eastAsia" w:ascii="宋体" w:hAnsi="宋体" w:eastAsia="宋体" w:cs="Arial"/>
                <w:b w:val="0"/>
                <w:bCs w:val="0"/>
                <w:snapToGrid/>
                <w:color w:val="000000" w:themeColor="text1"/>
                <w:kern w:val="24"/>
                <w:sz w:val="21"/>
                <w:szCs w:val="21"/>
                <w14:textFill>
                  <w14:solidFill>
                    <w14:schemeClr w14:val="tx1"/>
                  </w14:solidFill>
                </w14:textFill>
              </w:rPr>
              <w:t>文件名</w:t>
            </w:r>
          </w:p>
        </w:tc>
      </w:tr>
      <w:tr w14:paraId="04846B77">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0" w:type="dxa"/>
            <w:bottom w:w="0" w:type="dxa"/>
            <w:right w:w="0" w:type="dxa"/>
          </w:tblCellMar>
        </w:tblPrEx>
        <w:trPr>
          <w:trHeight w:val="626" w:hRule="atLeast"/>
        </w:trPr>
        <w:tc>
          <w:tcPr>
            <w:tcW w:w="709" w:type="dxa"/>
            <w:shd w:val="clear" w:color="auto" w:fill="auto"/>
            <w:tcMar>
              <w:top w:w="72" w:type="dxa"/>
              <w:left w:w="144" w:type="dxa"/>
              <w:bottom w:w="72" w:type="dxa"/>
              <w:right w:w="144" w:type="dxa"/>
            </w:tcMar>
            <w:vAlign w:val="center"/>
          </w:tcPr>
          <w:p w14:paraId="2177086B">
            <w:pPr>
              <w:kinsoku/>
              <w:autoSpaceDE/>
              <w:autoSpaceDN/>
              <w:adjustRightInd/>
              <w:snapToGrid/>
              <w:spacing w:before="0" w:line="240" w:lineRule="auto"/>
              <w:textAlignment w:val="auto"/>
              <w:rPr>
                <w:rFonts w:ascii="宋体" w:hAnsi="宋体" w:eastAsia="宋体" w:cs="Arial"/>
                <w:b w:val="0"/>
                <w:bCs w:val="0"/>
                <w:snapToGrid/>
                <w:color w:val="000000" w:themeColor="text1"/>
                <w:kern w:val="24"/>
                <w:sz w:val="21"/>
                <w:szCs w:val="21"/>
                <w14:textFill>
                  <w14:solidFill>
                    <w14:schemeClr w14:val="tx1"/>
                  </w14:solidFill>
                </w14:textFill>
              </w:rPr>
            </w:pPr>
            <w:r>
              <w:rPr>
                <w:rFonts w:hint="eastAsia" w:ascii="宋体" w:hAnsi="宋体" w:eastAsia="宋体" w:cs="Arial"/>
                <w:b w:val="0"/>
                <w:bCs w:val="0"/>
                <w:snapToGrid/>
                <w:color w:val="000000" w:themeColor="text1"/>
                <w:kern w:val="24"/>
                <w:sz w:val="21"/>
                <w:szCs w:val="21"/>
                <w14:textFill>
                  <w14:solidFill>
                    <w14:schemeClr w14:val="tx1"/>
                  </w14:solidFill>
                </w14:textFill>
              </w:rPr>
              <w:t>1</w:t>
            </w:r>
          </w:p>
        </w:tc>
        <w:tc>
          <w:tcPr>
            <w:tcW w:w="3544" w:type="dxa"/>
            <w:shd w:val="clear" w:color="auto" w:fill="auto"/>
            <w:tcMar>
              <w:top w:w="72" w:type="dxa"/>
              <w:left w:w="144" w:type="dxa"/>
              <w:bottom w:w="72" w:type="dxa"/>
              <w:right w:w="144" w:type="dxa"/>
            </w:tcMar>
            <w:vAlign w:val="center"/>
          </w:tcPr>
          <w:p w14:paraId="34A4E5BA">
            <w:pPr>
              <w:kinsoku/>
              <w:autoSpaceDE/>
              <w:autoSpaceDN/>
              <w:adjustRightInd/>
              <w:snapToGrid/>
              <w:spacing w:before="0" w:line="240" w:lineRule="auto"/>
              <w:textAlignment w:val="auto"/>
              <w:rPr>
                <w:rFonts w:ascii="宋体" w:hAnsi="宋体" w:eastAsia="宋体" w:cs="Arial"/>
                <w:b w:val="0"/>
                <w:bCs w:val="0"/>
                <w:snapToGrid/>
                <w:color w:val="000000" w:themeColor="text1"/>
                <w:kern w:val="24"/>
                <w:sz w:val="21"/>
                <w:szCs w:val="21"/>
                <w14:textFill>
                  <w14:solidFill>
                    <w14:schemeClr w14:val="tx1"/>
                  </w14:solidFill>
                </w14:textFill>
              </w:rPr>
            </w:pPr>
            <w:r>
              <w:rPr>
                <w:rFonts w:hint="eastAsia" w:ascii="宋体" w:hAnsi="宋体" w:eastAsia="宋体" w:cs="宋体"/>
                <w:b w:val="0"/>
                <w:bCs w:val="0"/>
                <w:snapToGrid/>
                <w:color w:val="000000" w:themeColor="text1"/>
                <w:kern w:val="24"/>
                <w:sz w:val="21"/>
                <w:szCs w:val="21"/>
                <w14:textFill>
                  <w14:solidFill>
                    <w14:schemeClr w14:val="tx1"/>
                  </w14:solidFill>
                </w14:textFill>
              </w:rPr>
              <w:t>GB 50016《建筑设计防火规范》</w:t>
            </w:r>
          </w:p>
        </w:tc>
        <w:tc>
          <w:tcPr>
            <w:tcW w:w="851"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5B642D29">
            <w:pPr>
              <w:kinsoku/>
              <w:autoSpaceDE/>
              <w:autoSpaceDN/>
              <w:adjustRightInd/>
              <w:snapToGrid/>
              <w:spacing w:before="0" w:line="240" w:lineRule="auto"/>
              <w:textAlignment w:val="auto"/>
              <w:rPr>
                <w:rFonts w:ascii="Arial" w:hAnsi="Arial" w:eastAsia="宋体" w:cs="Arial"/>
                <w:b w:val="0"/>
                <w:bCs w:val="0"/>
                <w:snapToGrid/>
                <w:color w:val="auto"/>
                <w:sz w:val="21"/>
                <w:szCs w:val="21"/>
              </w:rPr>
            </w:pPr>
            <w:r>
              <w:rPr>
                <w:rFonts w:hint="eastAsia" w:ascii="宋体" w:hAnsi="宋体" w:eastAsia="宋体" w:cs="Arial"/>
                <w:b w:val="0"/>
                <w:bCs w:val="0"/>
                <w:snapToGrid/>
                <w:color w:val="000000" w:themeColor="text1"/>
                <w:kern w:val="24"/>
                <w:sz w:val="21"/>
                <w:szCs w:val="21"/>
                <w14:textFill>
                  <w14:solidFill>
                    <w14:schemeClr w14:val="tx1"/>
                  </w14:solidFill>
                </w14:textFill>
              </w:rPr>
              <w:t>13</w:t>
            </w:r>
          </w:p>
        </w:tc>
        <w:tc>
          <w:tcPr>
            <w:tcW w:w="4110"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284F38F8">
            <w:pPr>
              <w:kinsoku/>
              <w:autoSpaceDE/>
              <w:autoSpaceDN/>
              <w:adjustRightInd/>
              <w:snapToGrid/>
              <w:spacing w:before="0" w:line="240" w:lineRule="auto"/>
              <w:textAlignment w:val="auto"/>
              <w:rPr>
                <w:rFonts w:ascii="Arial" w:hAnsi="Arial" w:eastAsia="宋体" w:cs="Arial"/>
                <w:b w:val="0"/>
                <w:bCs w:val="0"/>
                <w:snapToGrid/>
                <w:color w:val="auto"/>
                <w:sz w:val="21"/>
                <w:szCs w:val="21"/>
              </w:rPr>
            </w:pPr>
            <w:r>
              <w:rPr>
                <w:rFonts w:hint="eastAsia" w:ascii="宋体" w:hAnsi="宋体" w:eastAsia="宋体" w:cs="宋体"/>
                <w:b w:val="0"/>
                <w:bCs w:val="0"/>
                <w:snapToGrid/>
                <w:color w:val="000000" w:themeColor="text1"/>
                <w:kern w:val="24"/>
                <w:sz w:val="21"/>
                <w:szCs w:val="21"/>
                <w14:textFill>
                  <w14:solidFill>
                    <w14:schemeClr w14:val="tx1"/>
                  </w14:solidFill>
                </w14:textFill>
              </w:rPr>
              <w:t>GB/T 6441《企业职工伤亡事故分类》</w:t>
            </w:r>
          </w:p>
        </w:tc>
      </w:tr>
      <w:tr w14:paraId="3F5133A6">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0" w:type="dxa"/>
            <w:bottom w:w="0" w:type="dxa"/>
            <w:right w:w="0" w:type="dxa"/>
          </w:tblCellMar>
        </w:tblPrEx>
        <w:trPr>
          <w:trHeight w:val="626" w:hRule="atLeast"/>
        </w:trPr>
        <w:tc>
          <w:tcPr>
            <w:tcW w:w="709" w:type="dxa"/>
            <w:shd w:val="clear" w:color="auto" w:fill="auto"/>
            <w:tcMar>
              <w:top w:w="72" w:type="dxa"/>
              <w:left w:w="144" w:type="dxa"/>
              <w:bottom w:w="72" w:type="dxa"/>
              <w:right w:w="144" w:type="dxa"/>
            </w:tcMar>
            <w:vAlign w:val="center"/>
          </w:tcPr>
          <w:p w14:paraId="5813FDE2">
            <w:pPr>
              <w:kinsoku/>
              <w:autoSpaceDE/>
              <w:autoSpaceDN/>
              <w:adjustRightInd/>
              <w:snapToGrid/>
              <w:spacing w:before="0" w:line="240" w:lineRule="auto"/>
              <w:textAlignment w:val="auto"/>
              <w:rPr>
                <w:rFonts w:ascii="宋体" w:hAnsi="宋体" w:eastAsia="宋体" w:cs="Arial"/>
                <w:b w:val="0"/>
                <w:bCs w:val="0"/>
                <w:snapToGrid/>
                <w:color w:val="000000" w:themeColor="text1"/>
                <w:kern w:val="24"/>
                <w:sz w:val="21"/>
                <w:szCs w:val="21"/>
                <w14:textFill>
                  <w14:solidFill>
                    <w14:schemeClr w14:val="tx1"/>
                  </w14:solidFill>
                </w14:textFill>
              </w:rPr>
            </w:pPr>
            <w:r>
              <w:rPr>
                <w:rFonts w:hint="eastAsia" w:ascii="宋体" w:hAnsi="宋体" w:eastAsia="宋体" w:cs="Arial"/>
                <w:b w:val="0"/>
                <w:bCs w:val="0"/>
                <w:snapToGrid/>
                <w:color w:val="000000" w:themeColor="text1"/>
                <w:kern w:val="24"/>
                <w:sz w:val="21"/>
                <w:szCs w:val="21"/>
                <w14:textFill>
                  <w14:solidFill>
                    <w14:schemeClr w14:val="tx1"/>
                  </w14:solidFill>
                </w14:textFill>
              </w:rPr>
              <w:t>2</w:t>
            </w:r>
          </w:p>
        </w:tc>
        <w:tc>
          <w:tcPr>
            <w:tcW w:w="3544" w:type="dxa"/>
            <w:shd w:val="clear" w:color="auto" w:fill="auto"/>
            <w:tcMar>
              <w:top w:w="72" w:type="dxa"/>
              <w:left w:w="144" w:type="dxa"/>
              <w:bottom w:w="72" w:type="dxa"/>
              <w:right w:w="144" w:type="dxa"/>
            </w:tcMar>
            <w:vAlign w:val="center"/>
          </w:tcPr>
          <w:p w14:paraId="1C88D78E">
            <w:pPr>
              <w:kinsoku/>
              <w:autoSpaceDE/>
              <w:autoSpaceDN/>
              <w:adjustRightInd/>
              <w:snapToGrid/>
              <w:spacing w:before="0" w:line="240" w:lineRule="auto"/>
              <w:textAlignment w:val="auto"/>
              <w:rPr>
                <w:rFonts w:ascii="宋体" w:hAnsi="宋体" w:eastAsia="宋体" w:cs="Arial"/>
                <w:b w:val="0"/>
                <w:bCs w:val="0"/>
                <w:snapToGrid/>
                <w:color w:val="000000" w:themeColor="text1"/>
                <w:kern w:val="24"/>
                <w:sz w:val="21"/>
                <w:szCs w:val="21"/>
                <w14:textFill>
                  <w14:solidFill>
                    <w14:schemeClr w14:val="tx1"/>
                  </w14:solidFill>
                </w14:textFill>
              </w:rPr>
            </w:pPr>
            <w:r>
              <w:rPr>
                <w:rFonts w:hint="eastAsia" w:ascii="宋体" w:hAnsi="宋体" w:eastAsia="宋体" w:cs="宋体"/>
                <w:b w:val="0"/>
                <w:bCs w:val="0"/>
                <w:snapToGrid/>
                <w:color w:val="000000" w:themeColor="text1"/>
                <w:kern w:val="24"/>
                <w:sz w:val="21"/>
                <w:szCs w:val="21"/>
                <w14:textFill>
                  <w14:solidFill>
                    <w14:schemeClr w14:val="tx1"/>
                  </w14:solidFill>
                </w14:textFill>
              </w:rPr>
              <w:t>GB 15603《危险化学品仓库储存通则》</w:t>
            </w:r>
          </w:p>
        </w:tc>
        <w:tc>
          <w:tcPr>
            <w:tcW w:w="851"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16BB6CA8">
            <w:pPr>
              <w:kinsoku/>
              <w:autoSpaceDE/>
              <w:autoSpaceDN/>
              <w:adjustRightInd/>
              <w:snapToGrid/>
              <w:spacing w:before="0" w:line="240" w:lineRule="auto"/>
              <w:textAlignment w:val="auto"/>
              <w:rPr>
                <w:rFonts w:ascii="Arial" w:hAnsi="Arial" w:eastAsia="宋体" w:cs="Arial"/>
                <w:b w:val="0"/>
                <w:bCs w:val="0"/>
                <w:snapToGrid/>
                <w:color w:val="auto"/>
                <w:sz w:val="21"/>
                <w:szCs w:val="21"/>
              </w:rPr>
            </w:pPr>
            <w:r>
              <w:rPr>
                <w:rFonts w:hint="eastAsia" w:ascii="宋体" w:hAnsi="宋体" w:eastAsia="宋体" w:cs="Arial"/>
                <w:b w:val="0"/>
                <w:bCs w:val="0"/>
                <w:snapToGrid/>
                <w:color w:val="000000" w:themeColor="text1"/>
                <w:kern w:val="24"/>
                <w:sz w:val="21"/>
                <w:szCs w:val="21"/>
                <w14:textFill>
                  <w14:solidFill>
                    <w14:schemeClr w14:val="tx1"/>
                  </w14:solidFill>
                </w14:textFill>
              </w:rPr>
              <w:t>14</w:t>
            </w:r>
          </w:p>
        </w:tc>
        <w:tc>
          <w:tcPr>
            <w:tcW w:w="4110"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219993BE">
            <w:pPr>
              <w:kinsoku/>
              <w:autoSpaceDE/>
              <w:autoSpaceDN/>
              <w:adjustRightInd/>
              <w:snapToGrid/>
              <w:spacing w:before="0" w:line="240" w:lineRule="auto"/>
              <w:textAlignment w:val="auto"/>
              <w:rPr>
                <w:rFonts w:ascii="Arial" w:hAnsi="Arial" w:eastAsia="宋体" w:cs="Arial"/>
                <w:b w:val="0"/>
                <w:bCs w:val="0"/>
                <w:snapToGrid/>
                <w:color w:val="auto"/>
                <w:sz w:val="21"/>
                <w:szCs w:val="21"/>
              </w:rPr>
            </w:pPr>
            <w:r>
              <w:rPr>
                <w:rFonts w:hint="eastAsia" w:ascii="宋体" w:hAnsi="宋体" w:eastAsia="宋体" w:cs="宋体"/>
                <w:b w:val="0"/>
                <w:bCs w:val="0"/>
                <w:snapToGrid/>
                <w:color w:val="000000" w:themeColor="text1"/>
                <w:kern w:val="24"/>
                <w:sz w:val="21"/>
                <w:szCs w:val="21"/>
                <w14:textFill>
                  <w14:solidFill>
                    <w14:schemeClr w14:val="tx1"/>
                  </w14:solidFill>
                </w14:textFill>
              </w:rPr>
              <w:t>GB 35181《重大火灾隐患判定方法》</w:t>
            </w:r>
          </w:p>
        </w:tc>
      </w:tr>
      <w:tr w14:paraId="51315047">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0" w:type="dxa"/>
            <w:bottom w:w="0" w:type="dxa"/>
            <w:right w:w="0" w:type="dxa"/>
          </w:tblCellMar>
        </w:tblPrEx>
        <w:trPr>
          <w:trHeight w:val="626" w:hRule="atLeast"/>
        </w:trPr>
        <w:tc>
          <w:tcPr>
            <w:tcW w:w="709" w:type="dxa"/>
            <w:shd w:val="clear" w:color="auto" w:fill="auto"/>
            <w:tcMar>
              <w:top w:w="72" w:type="dxa"/>
              <w:left w:w="144" w:type="dxa"/>
              <w:bottom w:w="72" w:type="dxa"/>
              <w:right w:w="144" w:type="dxa"/>
            </w:tcMar>
            <w:vAlign w:val="center"/>
          </w:tcPr>
          <w:p w14:paraId="448F4C5D">
            <w:pPr>
              <w:kinsoku/>
              <w:autoSpaceDE/>
              <w:autoSpaceDN/>
              <w:adjustRightInd/>
              <w:snapToGrid/>
              <w:spacing w:before="0" w:line="240" w:lineRule="auto"/>
              <w:textAlignment w:val="auto"/>
              <w:rPr>
                <w:rFonts w:ascii="宋体" w:hAnsi="宋体" w:eastAsia="宋体" w:cs="Arial"/>
                <w:b w:val="0"/>
                <w:bCs w:val="0"/>
                <w:snapToGrid/>
                <w:color w:val="000000" w:themeColor="text1"/>
                <w:kern w:val="24"/>
                <w:sz w:val="21"/>
                <w:szCs w:val="21"/>
                <w14:textFill>
                  <w14:solidFill>
                    <w14:schemeClr w14:val="tx1"/>
                  </w14:solidFill>
                </w14:textFill>
              </w:rPr>
            </w:pPr>
            <w:r>
              <w:rPr>
                <w:rFonts w:hint="eastAsia" w:ascii="宋体" w:hAnsi="宋体" w:eastAsia="宋体" w:cs="Arial"/>
                <w:b w:val="0"/>
                <w:bCs w:val="0"/>
                <w:snapToGrid/>
                <w:color w:val="000000" w:themeColor="text1"/>
                <w:kern w:val="24"/>
                <w:sz w:val="21"/>
                <w:szCs w:val="21"/>
                <w14:textFill>
                  <w14:solidFill>
                    <w14:schemeClr w14:val="tx1"/>
                  </w14:solidFill>
                </w14:textFill>
              </w:rPr>
              <w:t>3</w:t>
            </w:r>
          </w:p>
        </w:tc>
        <w:tc>
          <w:tcPr>
            <w:tcW w:w="3544" w:type="dxa"/>
            <w:shd w:val="clear" w:color="auto" w:fill="auto"/>
            <w:tcMar>
              <w:top w:w="72" w:type="dxa"/>
              <w:left w:w="144" w:type="dxa"/>
              <w:bottom w:w="72" w:type="dxa"/>
              <w:right w:w="144" w:type="dxa"/>
            </w:tcMar>
            <w:vAlign w:val="center"/>
          </w:tcPr>
          <w:p w14:paraId="4F3C24DE">
            <w:pPr>
              <w:kinsoku/>
              <w:autoSpaceDE/>
              <w:autoSpaceDN/>
              <w:adjustRightInd/>
              <w:snapToGrid/>
              <w:spacing w:before="0" w:line="240" w:lineRule="auto"/>
              <w:textAlignment w:val="auto"/>
              <w:rPr>
                <w:rFonts w:ascii="宋体" w:hAnsi="宋体" w:eastAsia="宋体" w:cs="Arial"/>
                <w:b w:val="0"/>
                <w:bCs w:val="0"/>
                <w:snapToGrid/>
                <w:color w:val="000000" w:themeColor="text1"/>
                <w:kern w:val="24"/>
                <w:sz w:val="21"/>
                <w:szCs w:val="21"/>
                <w14:textFill>
                  <w14:solidFill>
                    <w14:schemeClr w14:val="tx1"/>
                  </w14:solidFill>
                </w14:textFill>
              </w:rPr>
            </w:pPr>
            <w:r>
              <w:rPr>
                <w:rFonts w:hint="eastAsia" w:ascii="宋体" w:hAnsi="宋体" w:eastAsia="宋体" w:cs="宋体"/>
                <w:b w:val="0"/>
                <w:bCs w:val="0"/>
                <w:snapToGrid/>
                <w:color w:val="000000" w:themeColor="text1"/>
                <w:kern w:val="24"/>
                <w:sz w:val="21"/>
                <w:szCs w:val="21"/>
                <w14:textFill>
                  <w14:solidFill>
                    <w14:schemeClr w14:val="tx1"/>
                  </w14:solidFill>
                </w14:textFill>
              </w:rPr>
              <w:t>GB 18218《危险化学品重大危险源辨识》</w:t>
            </w:r>
          </w:p>
        </w:tc>
        <w:tc>
          <w:tcPr>
            <w:tcW w:w="851"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262EA450">
            <w:pPr>
              <w:kinsoku/>
              <w:autoSpaceDE/>
              <w:autoSpaceDN/>
              <w:adjustRightInd/>
              <w:snapToGrid/>
              <w:spacing w:before="0" w:line="240" w:lineRule="auto"/>
              <w:textAlignment w:val="auto"/>
              <w:rPr>
                <w:rFonts w:ascii="Arial" w:hAnsi="Arial" w:eastAsia="宋体" w:cs="Arial"/>
                <w:b w:val="0"/>
                <w:bCs w:val="0"/>
                <w:snapToGrid/>
                <w:color w:val="auto"/>
                <w:sz w:val="21"/>
                <w:szCs w:val="21"/>
              </w:rPr>
            </w:pPr>
            <w:r>
              <w:rPr>
                <w:rFonts w:hint="eastAsia" w:ascii="宋体" w:hAnsi="宋体" w:eastAsia="宋体" w:cs="Arial"/>
                <w:b w:val="0"/>
                <w:bCs w:val="0"/>
                <w:snapToGrid/>
                <w:color w:val="000000" w:themeColor="text1"/>
                <w:kern w:val="24"/>
                <w:sz w:val="21"/>
                <w:szCs w:val="21"/>
                <w14:textFill>
                  <w14:solidFill>
                    <w14:schemeClr w14:val="tx1"/>
                  </w14:solidFill>
                </w14:textFill>
              </w:rPr>
              <w:t>15</w:t>
            </w:r>
          </w:p>
        </w:tc>
        <w:tc>
          <w:tcPr>
            <w:tcW w:w="4110"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2BD2932A">
            <w:pPr>
              <w:kinsoku/>
              <w:autoSpaceDE/>
              <w:autoSpaceDN/>
              <w:adjustRightInd/>
              <w:snapToGrid/>
              <w:spacing w:before="0" w:line="240" w:lineRule="auto"/>
              <w:textAlignment w:val="auto"/>
              <w:rPr>
                <w:rFonts w:ascii="Arial" w:hAnsi="Arial" w:eastAsia="宋体" w:cs="Arial"/>
                <w:b w:val="0"/>
                <w:bCs w:val="0"/>
                <w:snapToGrid/>
                <w:color w:val="auto"/>
                <w:sz w:val="21"/>
                <w:szCs w:val="21"/>
              </w:rPr>
            </w:pPr>
            <w:r>
              <w:rPr>
                <w:rFonts w:hint="eastAsia" w:ascii="宋体" w:hAnsi="宋体" w:eastAsia="宋体" w:cs="宋体"/>
                <w:b w:val="0"/>
                <w:bCs w:val="0"/>
                <w:snapToGrid/>
                <w:color w:val="000000" w:themeColor="text1"/>
                <w:kern w:val="24"/>
                <w:sz w:val="21"/>
                <w:szCs w:val="21"/>
                <w14:textFill>
                  <w14:solidFill>
                    <w14:schemeClr w14:val="tx1"/>
                  </w14:solidFill>
                </w14:textFill>
              </w:rPr>
              <w:t>GB 2894《安全标志及其使用导则》</w:t>
            </w:r>
          </w:p>
        </w:tc>
      </w:tr>
      <w:tr w14:paraId="20CB81E4">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0" w:type="dxa"/>
            <w:bottom w:w="0" w:type="dxa"/>
            <w:right w:w="0" w:type="dxa"/>
          </w:tblCellMar>
        </w:tblPrEx>
        <w:trPr>
          <w:trHeight w:val="626" w:hRule="atLeast"/>
        </w:trPr>
        <w:tc>
          <w:tcPr>
            <w:tcW w:w="709" w:type="dxa"/>
            <w:shd w:val="clear" w:color="auto" w:fill="auto"/>
            <w:tcMar>
              <w:top w:w="72" w:type="dxa"/>
              <w:left w:w="144" w:type="dxa"/>
              <w:bottom w:w="72" w:type="dxa"/>
              <w:right w:w="144" w:type="dxa"/>
            </w:tcMar>
            <w:vAlign w:val="center"/>
          </w:tcPr>
          <w:p w14:paraId="6D163B2D">
            <w:pPr>
              <w:kinsoku/>
              <w:autoSpaceDE/>
              <w:autoSpaceDN/>
              <w:adjustRightInd/>
              <w:snapToGrid/>
              <w:spacing w:before="0" w:line="240" w:lineRule="auto"/>
              <w:textAlignment w:val="auto"/>
              <w:rPr>
                <w:rFonts w:ascii="宋体" w:hAnsi="宋体" w:eastAsia="宋体" w:cs="Arial"/>
                <w:b w:val="0"/>
                <w:bCs w:val="0"/>
                <w:snapToGrid/>
                <w:color w:val="000000" w:themeColor="text1"/>
                <w:kern w:val="24"/>
                <w:sz w:val="21"/>
                <w:szCs w:val="21"/>
                <w14:textFill>
                  <w14:solidFill>
                    <w14:schemeClr w14:val="tx1"/>
                  </w14:solidFill>
                </w14:textFill>
              </w:rPr>
            </w:pPr>
            <w:r>
              <w:rPr>
                <w:rFonts w:hint="eastAsia" w:ascii="宋体" w:hAnsi="宋体" w:eastAsia="宋体" w:cs="Arial"/>
                <w:b w:val="0"/>
                <w:bCs w:val="0"/>
                <w:snapToGrid/>
                <w:color w:val="000000" w:themeColor="text1"/>
                <w:kern w:val="24"/>
                <w:sz w:val="21"/>
                <w:szCs w:val="21"/>
                <w14:textFill>
                  <w14:solidFill>
                    <w14:schemeClr w14:val="tx1"/>
                  </w14:solidFill>
                </w14:textFill>
              </w:rPr>
              <w:t>4</w:t>
            </w:r>
          </w:p>
        </w:tc>
        <w:tc>
          <w:tcPr>
            <w:tcW w:w="3544" w:type="dxa"/>
            <w:shd w:val="clear" w:color="auto" w:fill="auto"/>
            <w:tcMar>
              <w:top w:w="72" w:type="dxa"/>
              <w:left w:w="144" w:type="dxa"/>
              <w:bottom w:w="72" w:type="dxa"/>
              <w:right w:w="144" w:type="dxa"/>
            </w:tcMar>
            <w:vAlign w:val="center"/>
          </w:tcPr>
          <w:p w14:paraId="7940B2BE">
            <w:pPr>
              <w:kinsoku/>
              <w:autoSpaceDE/>
              <w:autoSpaceDN/>
              <w:adjustRightInd/>
              <w:snapToGrid/>
              <w:spacing w:before="0" w:line="240" w:lineRule="auto"/>
              <w:textAlignment w:val="auto"/>
              <w:rPr>
                <w:rFonts w:ascii="宋体" w:hAnsi="宋体" w:eastAsia="宋体" w:cs="Arial"/>
                <w:b w:val="0"/>
                <w:bCs w:val="0"/>
                <w:snapToGrid/>
                <w:color w:val="000000" w:themeColor="text1"/>
                <w:kern w:val="24"/>
                <w:sz w:val="21"/>
                <w:szCs w:val="21"/>
                <w14:textFill>
                  <w14:solidFill>
                    <w14:schemeClr w14:val="tx1"/>
                  </w14:solidFill>
                </w14:textFill>
              </w:rPr>
            </w:pPr>
            <w:r>
              <w:rPr>
                <w:rFonts w:hint="eastAsia" w:ascii="宋体" w:hAnsi="宋体" w:eastAsia="宋体" w:cs="宋体"/>
                <w:b w:val="0"/>
                <w:bCs w:val="0"/>
                <w:snapToGrid/>
                <w:color w:val="000000" w:themeColor="text1"/>
                <w:kern w:val="24"/>
                <w:sz w:val="21"/>
                <w:szCs w:val="21"/>
                <w14:textFill>
                  <w14:solidFill>
                    <w14:schemeClr w14:val="tx1"/>
                  </w14:solidFill>
                </w14:textFill>
              </w:rPr>
              <w:t>GB 13690《化学品分类和危险性公示 通则》</w:t>
            </w:r>
          </w:p>
        </w:tc>
        <w:tc>
          <w:tcPr>
            <w:tcW w:w="851"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7285ACD3">
            <w:pPr>
              <w:kinsoku/>
              <w:autoSpaceDE/>
              <w:autoSpaceDN/>
              <w:adjustRightInd/>
              <w:snapToGrid/>
              <w:spacing w:before="0" w:line="240" w:lineRule="auto"/>
              <w:textAlignment w:val="auto"/>
              <w:rPr>
                <w:rFonts w:ascii="Arial" w:hAnsi="Arial" w:eastAsia="宋体" w:cs="Arial"/>
                <w:b w:val="0"/>
                <w:bCs w:val="0"/>
                <w:snapToGrid/>
                <w:color w:val="auto"/>
                <w:sz w:val="21"/>
                <w:szCs w:val="21"/>
              </w:rPr>
            </w:pPr>
            <w:r>
              <w:rPr>
                <w:rFonts w:hint="eastAsia" w:ascii="宋体" w:hAnsi="宋体" w:eastAsia="宋体" w:cs="Arial"/>
                <w:b w:val="0"/>
                <w:bCs w:val="0"/>
                <w:snapToGrid/>
                <w:color w:val="000000" w:themeColor="text1"/>
                <w:kern w:val="24"/>
                <w:sz w:val="21"/>
                <w:szCs w:val="21"/>
                <w14:textFill>
                  <w14:solidFill>
                    <w14:schemeClr w14:val="tx1"/>
                  </w14:solidFill>
                </w14:textFill>
              </w:rPr>
              <w:t>16</w:t>
            </w:r>
          </w:p>
        </w:tc>
        <w:tc>
          <w:tcPr>
            <w:tcW w:w="4110" w:type="dxa"/>
            <w:tcBorders>
              <w:top w:val="single" w:color="000000" w:sz="8" w:space="0"/>
              <w:left w:val="single" w:color="000000" w:sz="8" w:space="0"/>
              <w:bottom w:val="single" w:color="000000" w:sz="8" w:space="0"/>
              <w:right w:val="single" w:color="000000" w:sz="8" w:space="0"/>
            </w:tcBorders>
            <w:shd w:val="clear" w:color="auto" w:fill="auto"/>
            <w:tcMar>
              <w:top w:w="72" w:type="dxa"/>
              <w:left w:w="144" w:type="dxa"/>
              <w:bottom w:w="72" w:type="dxa"/>
              <w:right w:w="144" w:type="dxa"/>
            </w:tcMar>
            <w:vAlign w:val="center"/>
          </w:tcPr>
          <w:p w14:paraId="140E1A83">
            <w:pPr>
              <w:kinsoku/>
              <w:autoSpaceDE/>
              <w:autoSpaceDN/>
              <w:adjustRightInd/>
              <w:snapToGrid/>
              <w:spacing w:before="0" w:line="240" w:lineRule="auto"/>
              <w:textAlignment w:val="auto"/>
              <w:rPr>
                <w:rFonts w:ascii="Arial" w:hAnsi="Arial" w:eastAsia="宋体" w:cs="Arial"/>
                <w:b w:val="0"/>
                <w:bCs w:val="0"/>
                <w:snapToGrid/>
                <w:color w:val="auto"/>
                <w:sz w:val="21"/>
                <w:szCs w:val="21"/>
              </w:rPr>
            </w:pPr>
            <w:r>
              <w:rPr>
                <w:rFonts w:hint="eastAsia" w:ascii="宋体" w:hAnsi="宋体" w:eastAsia="宋体" w:cs="宋体"/>
                <w:b w:val="0"/>
                <w:bCs w:val="0"/>
                <w:snapToGrid/>
                <w:color w:val="000000" w:themeColor="text1"/>
                <w:kern w:val="24"/>
                <w:sz w:val="21"/>
                <w:szCs w:val="21"/>
                <w14:textFill>
                  <w14:solidFill>
                    <w14:schemeClr w14:val="tx1"/>
                  </w14:solidFill>
                </w14:textFill>
              </w:rPr>
              <w:t>GB 3096《声环境质量标准》</w:t>
            </w:r>
          </w:p>
        </w:tc>
      </w:tr>
      <w:tr w14:paraId="735D561F">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0" w:type="dxa"/>
            <w:bottom w:w="0" w:type="dxa"/>
            <w:right w:w="0" w:type="dxa"/>
          </w:tblCellMar>
        </w:tblPrEx>
        <w:trPr>
          <w:trHeight w:val="626" w:hRule="atLeast"/>
        </w:trPr>
        <w:tc>
          <w:tcPr>
            <w:tcW w:w="709" w:type="dxa"/>
            <w:shd w:val="clear" w:color="auto" w:fill="auto"/>
            <w:tcMar>
              <w:top w:w="72" w:type="dxa"/>
              <w:left w:w="144" w:type="dxa"/>
              <w:bottom w:w="72" w:type="dxa"/>
              <w:right w:w="144" w:type="dxa"/>
            </w:tcMar>
            <w:vAlign w:val="center"/>
          </w:tcPr>
          <w:p w14:paraId="6F4097AA">
            <w:pPr>
              <w:kinsoku/>
              <w:autoSpaceDE/>
              <w:autoSpaceDN/>
              <w:adjustRightInd/>
              <w:snapToGrid/>
              <w:spacing w:before="0" w:line="240" w:lineRule="auto"/>
              <w:textAlignment w:val="auto"/>
              <w:rPr>
                <w:rFonts w:ascii="宋体" w:hAnsi="宋体" w:eastAsia="宋体" w:cs="Arial"/>
                <w:b w:val="0"/>
                <w:bCs w:val="0"/>
                <w:snapToGrid/>
                <w:color w:val="000000" w:themeColor="text1"/>
                <w:kern w:val="24"/>
                <w:sz w:val="21"/>
                <w:szCs w:val="21"/>
                <w14:textFill>
                  <w14:solidFill>
                    <w14:schemeClr w14:val="tx1"/>
                  </w14:solidFill>
                </w14:textFill>
              </w:rPr>
            </w:pPr>
            <w:r>
              <w:rPr>
                <w:rFonts w:hint="eastAsia" w:ascii="宋体" w:hAnsi="宋体" w:eastAsia="宋体" w:cs="Arial"/>
                <w:b w:val="0"/>
                <w:bCs w:val="0"/>
                <w:snapToGrid/>
                <w:color w:val="000000" w:themeColor="text1"/>
                <w:kern w:val="24"/>
                <w:sz w:val="21"/>
                <w:szCs w:val="21"/>
                <w14:textFill>
                  <w14:solidFill>
                    <w14:schemeClr w14:val="tx1"/>
                  </w14:solidFill>
                </w14:textFill>
              </w:rPr>
              <w:t>5</w:t>
            </w:r>
          </w:p>
        </w:tc>
        <w:tc>
          <w:tcPr>
            <w:tcW w:w="3544" w:type="dxa"/>
            <w:shd w:val="clear" w:color="auto" w:fill="auto"/>
            <w:tcMar>
              <w:top w:w="72" w:type="dxa"/>
              <w:left w:w="144" w:type="dxa"/>
              <w:bottom w:w="72" w:type="dxa"/>
              <w:right w:w="144" w:type="dxa"/>
            </w:tcMar>
            <w:vAlign w:val="center"/>
          </w:tcPr>
          <w:p w14:paraId="497CA5B0">
            <w:pPr>
              <w:kinsoku/>
              <w:autoSpaceDE/>
              <w:autoSpaceDN/>
              <w:adjustRightInd/>
              <w:snapToGrid/>
              <w:spacing w:before="0" w:line="240" w:lineRule="auto"/>
              <w:textAlignment w:val="auto"/>
              <w:rPr>
                <w:rFonts w:ascii="宋体" w:hAnsi="宋体" w:eastAsia="宋体" w:cs="Arial"/>
                <w:b w:val="0"/>
                <w:bCs w:val="0"/>
                <w:snapToGrid/>
                <w:color w:val="000000" w:themeColor="text1"/>
                <w:kern w:val="24"/>
                <w:sz w:val="21"/>
                <w:szCs w:val="21"/>
                <w14:textFill>
                  <w14:solidFill>
                    <w14:schemeClr w14:val="tx1"/>
                  </w14:solidFill>
                </w14:textFill>
              </w:rPr>
            </w:pPr>
            <w:r>
              <w:rPr>
                <w:rFonts w:hint="eastAsia" w:ascii="宋体" w:hAnsi="宋体" w:eastAsia="宋体" w:cs="宋体"/>
                <w:b w:val="0"/>
                <w:bCs w:val="0"/>
                <w:snapToGrid/>
                <w:color w:val="000000" w:themeColor="text1"/>
                <w:kern w:val="24"/>
                <w:sz w:val="21"/>
                <w:szCs w:val="21"/>
                <w14:textFill>
                  <w14:solidFill>
                    <w14:schemeClr w14:val="tx1"/>
                  </w14:solidFill>
                </w14:textFill>
              </w:rPr>
              <w:t>GB 15630《消防安全标志设置要求》</w:t>
            </w:r>
          </w:p>
        </w:tc>
        <w:tc>
          <w:tcPr>
            <w:tcW w:w="851" w:type="dxa"/>
            <w:shd w:val="clear" w:color="auto" w:fill="auto"/>
            <w:tcMar>
              <w:top w:w="72" w:type="dxa"/>
              <w:left w:w="144" w:type="dxa"/>
              <w:bottom w:w="72" w:type="dxa"/>
              <w:right w:w="144" w:type="dxa"/>
            </w:tcMar>
            <w:vAlign w:val="center"/>
          </w:tcPr>
          <w:p w14:paraId="3894FE81">
            <w:pPr>
              <w:kinsoku/>
              <w:autoSpaceDE/>
              <w:autoSpaceDN/>
              <w:adjustRightInd/>
              <w:snapToGrid/>
              <w:spacing w:before="0" w:line="240" w:lineRule="auto"/>
              <w:textAlignment w:val="auto"/>
              <w:rPr>
                <w:rFonts w:ascii="Arial" w:hAnsi="Arial" w:eastAsia="宋体" w:cs="Arial"/>
                <w:b w:val="0"/>
                <w:bCs w:val="0"/>
                <w:snapToGrid/>
                <w:color w:val="auto"/>
                <w:sz w:val="21"/>
                <w:szCs w:val="21"/>
              </w:rPr>
            </w:pPr>
            <w:r>
              <w:rPr>
                <w:rFonts w:hint="eastAsia" w:ascii="Arial" w:hAnsi="Arial" w:eastAsia="宋体" w:cs="Arial"/>
                <w:b w:val="0"/>
                <w:bCs w:val="0"/>
                <w:snapToGrid/>
                <w:color w:val="auto"/>
                <w:sz w:val="21"/>
                <w:szCs w:val="21"/>
              </w:rPr>
              <w:t>17</w:t>
            </w:r>
          </w:p>
        </w:tc>
        <w:tc>
          <w:tcPr>
            <w:tcW w:w="4110" w:type="dxa"/>
            <w:shd w:val="clear" w:color="auto" w:fill="auto"/>
            <w:tcMar>
              <w:top w:w="72" w:type="dxa"/>
              <w:left w:w="144" w:type="dxa"/>
              <w:bottom w:w="72" w:type="dxa"/>
              <w:right w:w="144" w:type="dxa"/>
            </w:tcMar>
            <w:vAlign w:val="center"/>
          </w:tcPr>
          <w:p w14:paraId="7A5B910A">
            <w:pPr>
              <w:kinsoku/>
              <w:autoSpaceDE/>
              <w:autoSpaceDN/>
              <w:adjustRightInd/>
              <w:snapToGrid/>
              <w:spacing w:before="0" w:line="240" w:lineRule="auto"/>
              <w:textAlignment w:val="auto"/>
              <w:rPr>
                <w:rFonts w:ascii="Arial" w:hAnsi="Arial" w:eastAsia="宋体" w:cs="Arial"/>
                <w:b w:val="0"/>
                <w:bCs w:val="0"/>
                <w:snapToGrid/>
                <w:color w:val="auto"/>
                <w:sz w:val="21"/>
                <w:szCs w:val="21"/>
              </w:rPr>
            </w:pPr>
            <w:r>
              <w:rPr>
                <w:rFonts w:ascii="Arial" w:hAnsi="Arial" w:eastAsia="宋体" w:cs="Arial"/>
                <w:b w:val="0"/>
                <w:bCs w:val="0"/>
                <w:snapToGrid/>
                <w:color w:val="auto"/>
                <w:sz w:val="21"/>
                <w:szCs w:val="21"/>
              </w:rPr>
              <w:t>GB/T19995.2-2005</w:t>
            </w:r>
            <w:r>
              <w:rPr>
                <w:rFonts w:hint="eastAsia" w:ascii="Arial" w:hAnsi="Arial" w:eastAsia="宋体" w:cs="Arial"/>
                <w:b w:val="0"/>
                <w:bCs w:val="0"/>
                <w:snapToGrid/>
                <w:color w:val="auto"/>
                <w:sz w:val="21"/>
                <w:szCs w:val="21"/>
              </w:rPr>
              <w:t>《天然材料体育场地使用要求及检验方法第</w:t>
            </w:r>
            <w:r>
              <w:rPr>
                <w:rFonts w:ascii="Arial" w:hAnsi="Arial" w:eastAsia="宋体" w:cs="Arial"/>
                <w:b w:val="0"/>
                <w:bCs w:val="0"/>
                <w:snapToGrid/>
                <w:color w:val="auto"/>
                <w:sz w:val="21"/>
                <w:szCs w:val="21"/>
              </w:rPr>
              <w:t>2部分:综合体育场馆木地板场地</w:t>
            </w:r>
            <w:r>
              <w:rPr>
                <w:rFonts w:hint="eastAsia" w:ascii="Arial" w:hAnsi="Arial" w:eastAsia="宋体" w:cs="Arial"/>
                <w:b w:val="0"/>
                <w:bCs w:val="0"/>
                <w:snapToGrid/>
                <w:color w:val="auto"/>
                <w:sz w:val="21"/>
                <w:szCs w:val="21"/>
              </w:rPr>
              <w:t>》</w:t>
            </w:r>
          </w:p>
        </w:tc>
      </w:tr>
      <w:tr w14:paraId="5F2A27AC">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0" w:type="dxa"/>
            <w:bottom w:w="0" w:type="dxa"/>
            <w:right w:w="0" w:type="dxa"/>
          </w:tblCellMar>
        </w:tblPrEx>
        <w:trPr>
          <w:trHeight w:val="626" w:hRule="atLeast"/>
        </w:trPr>
        <w:tc>
          <w:tcPr>
            <w:tcW w:w="709" w:type="dxa"/>
            <w:shd w:val="clear" w:color="auto" w:fill="auto"/>
            <w:tcMar>
              <w:top w:w="72" w:type="dxa"/>
              <w:left w:w="144" w:type="dxa"/>
              <w:bottom w:w="72" w:type="dxa"/>
              <w:right w:w="144" w:type="dxa"/>
            </w:tcMar>
            <w:vAlign w:val="center"/>
          </w:tcPr>
          <w:p w14:paraId="40F9A29F">
            <w:pPr>
              <w:kinsoku/>
              <w:autoSpaceDE/>
              <w:autoSpaceDN/>
              <w:adjustRightInd/>
              <w:snapToGrid/>
              <w:spacing w:before="0" w:line="240" w:lineRule="auto"/>
              <w:textAlignment w:val="auto"/>
              <w:rPr>
                <w:rFonts w:ascii="宋体" w:hAnsi="宋体" w:eastAsia="宋体" w:cs="Arial"/>
                <w:b w:val="0"/>
                <w:bCs w:val="0"/>
                <w:snapToGrid/>
                <w:color w:val="000000" w:themeColor="text1"/>
                <w:kern w:val="24"/>
                <w:sz w:val="21"/>
                <w:szCs w:val="21"/>
                <w14:textFill>
                  <w14:solidFill>
                    <w14:schemeClr w14:val="tx1"/>
                  </w14:solidFill>
                </w14:textFill>
              </w:rPr>
            </w:pPr>
            <w:r>
              <w:rPr>
                <w:rFonts w:hint="eastAsia" w:ascii="宋体" w:hAnsi="宋体" w:eastAsia="宋体" w:cs="Arial"/>
                <w:b w:val="0"/>
                <w:bCs w:val="0"/>
                <w:snapToGrid/>
                <w:color w:val="000000" w:themeColor="text1"/>
                <w:kern w:val="24"/>
                <w:sz w:val="21"/>
                <w:szCs w:val="21"/>
                <w14:textFill>
                  <w14:solidFill>
                    <w14:schemeClr w14:val="tx1"/>
                  </w14:solidFill>
                </w14:textFill>
              </w:rPr>
              <w:t>6</w:t>
            </w:r>
          </w:p>
        </w:tc>
        <w:tc>
          <w:tcPr>
            <w:tcW w:w="3544" w:type="dxa"/>
            <w:shd w:val="clear" w:color="auto" w:fill="auto"/>
            <w:tcMar>
              <w:top w:w="72" w:type="dxa"/>
              <w:left w:w="144" w:type="dxa"/>
              <w:bottom w:w="72" w:type="dxa"/>
              <w:right w:w="144" w:type="dxa"/>
            </w:tcMar>
            <w:vAlign w:val="center"/>
          </w:tcPr>
          <w:p w14:paraId="4550F4A7">
            <w:pPr>
              <w:kinsoku/>
              <w:autoSpaceDE/>
              <w:autoSpaceDN/>
              <w:adjustRightInd/>
              <w:snapToGrid/>
              <w:spacing w:before="0" w:line="240" w:lineRule="auto"/>
              <w:textAlignment w:val="auto"/>
              <w:rPr>
                <w:rFonts w:ascii="宋体" w:hAnsi="宋体" w:eastAsia="宋体" w:cs="Arial"/>
                <w:b w:val="0"/>
                <w:bCs w:val="0"/>
                <w:snapToGrid/>
                <w:color w:val="000000" w:themeColor="text1"/>
                <w:kern w:val="24"/>
                <w:sz w:val="21"/>
                <w:szCs w:val="21"/>
                <w14:textFill>
                  <w14:solidFill>
                    <w14:schemeClr w14:val="tx1"/>
                  </w14:solidFill>
                </w14:textFill>
              </w:rPr>
            </w:pPr>
            <w:r>
              <w:rPr>
                <w:rFonts w:hint="eastAsia" w:ascii="宋体" w:hAnsi="宋体" w:eastAsia="宋体" w:cs="宋体"/>
                <w:b w:val="0"/>
                <w:bCs w:val="0"/>
                <w:snapToGrid/>
                <w:color w:val="000000" w:themeColor="text1"/>
                <w:kern w:val="24"/>
                <w:sz w:val="21"/>
                <w:szCs w:val="21"/>
                <w14:textFill>
                  <w14:solidFill>
                    <w14:schemeClr w14:val="tx1"/>
                  </w14:solidFill>
                </w14:textFill>
              </w:rPr>
              <w:t>GB 12158《防止静电事故通用导则》</w:t>
            </w:r>
          </w:p>
        </w:tc>
        <w:tc>
          <w:tcPr>
            <w:tcW w:w="851" w:type="dxa"/>
            <w:shd w:val="clear" w:color="auto" w:fill="auto"/>
            <w:tcMar>
              <w:top w:w="72" w:type="dxa"/>
              <w:left w:w="144" w:type="dxa"/>
              <w:bottom w:w="72" w:type="dxa"/>
              <w:right w:w="144" w:type="dxa"/>
            </w:tcMar>
            <w:vAlign w:val="center"/>
          </w:tcPr>
          <w:p w14:paraId="0DDA788A">
            <w:pPr>
              <w:kinsoku/>
              <w:autoSpaceDE/>
              <w:autoSpaceDN/>
              <w:adjustRightInd/>
              <w:snapToGrid/>
              <w:spacing w:before="0" w:line="240" w:lineRule="auto"/>
              <w:textAlignment w:val="auto"/>
              <w:rPr>
                <w:rFonts w:ascii="Arial" w:hAnsi="Arial" w:eastAsia="宋体" w:cs="Arial"/>
                <w:b w:val="0"/>
                <w:bCs w:val="0"/>
                <w:snapToGrid/>
                <w:color w:val="auto"/>
                <w:sz w:val="21"/>
                <w:szCs w:val="21"/>
              </w:rPr>
            </w:pPr>
            <w:r>
              <w:rPr>
                <w:rFonts w:hint="eastAsia" w:ascii="Arial" w:hAnsi="Arial" w:eastAsia="宋体" w:cs="Arial"/>
                <w:b w:val="0"/>
                <w:bCs w:val="0"/>
                <w:snapToGrid/>
                <w:color w:val="auto"/>
                <w:sz w:val="21"/>
                <w:szCs w:val="21"/>
              </w:rPr>
              <w:t>18</w:t>
            </w:r>
          </w:p>
        </w:tc>
        <w:tc>
          <w:tcPr>
            <w:tcW w:w="4110" w:type="dxa"/>
            <w:shd w:val="clear" w:color="auto" w:fill="auto"/>
            <w:tcMar>
              <w:top w:w="72" w:type="dxa"/>
              <w:left w:w="144" w:type="dxa"/>
              <w:bottom w:w="72" w:type="dxa"/>
              <w:right w:w="144" w:type="dxa"/>
            </w:tcMar>
            <w:vAlign w:val="center"/>
          </w:tcPr>
          <w:p w14:paraId="19F990FB">
            <w:pPr>
              <w:kinsoku/>
              <w:autoSpaceDE/>
              <w:autoSpaceDN/>
              <w:adjustRightInd/>
              <w:snapToGrid/>
              <w:spacing w:before="0" w:line="240" w:lineRule="auto"/>
              <w:textAlignment w:val="auto"/>
              <w:rPr>
                <w:rFonts w:ascii="Arial" w:hAnsi="Arial" w:eastAsia="宋体" w:cs="Arial"/>
                <w:b w:val="0"/>
                <w:bCs w:val="0"/>
                <w:snapToGrid/>
                <w:color w:val="auto"/>
                <w:sz w:val="21"/>
                <w:szCs w:val="21"/>
              </w:rPr>
            </w:pPr>
            <w:r>
              <w:rPr>
                <w:rFonts w:ascii="Arial" w:hAnsi="Arial" w:eastAsia="宋体" w:cs="Arial"/>
                <w:b w:val="0"/>
                <w:bCs w:val="0"/>
                <w:snapToGrid/>
                <w:color w:val="auto"/>
                <w:sz w:val="21"/>
                <w:szCs w:val="21"/>
              </w:rPr>
              <w:t xml:space="preserve">JGJ 153—2016 </w:t>
            </w:r>
            <w:r>
              <w:rPr>
                <w:rFonts w:hint="eastAsia" w:ascii="Arial" w:hAnsi="Arial" w:eastAsia="宋体" w:cs="Arial"/>
                <w:b w:val="0"/>
                <w:bCs w:val="0"/>
                <w:snapToGrid/>
                <w:color w:val="auto"/>
                <w:sz w:val="21"/>
                <w:szCs w:val="21"/>
              </w:rPr>
              <w:t>《</w:t>
            </w:r>
            <w:r>
              <w:rPr>
                <w:rFonts w:ascii="Arial" w:hAnsi="Arial" w:eastAsia="宋体" w:cs="Arial"/>
                <w:b w:val="0"/>
                <w:bCs w:val="0"/>
                <w:snapToGrid/>
                <w:color w:val="auto"/>
                <w:sz w:val="21"/>
                <w:szCs w:val="21"/>
              </w:rPr>
              <w:t>体育场馆照明设计及检测标准</w:t>
            </w:r>
            <w:r>
              <w:rPr>
                <w:rFonts w:hint="eastAsia" w:ascii="Arial" w:hAnsi="Arial" w:eastAsia="宋体" w:cs="Arial"/>
                <w:b w:val="0"/>
                <w:bCs w:val="0"/>
                <w:snapToGrid/>
                <w:color w:val="auto"/>
                <w:sz w:val="21"/>
                <w:szCs w:val="21"/>
              </w:rPr>
              <w:t>》</w:t>
            </w:r>
          </w:p>
        </w:tc>
      </w:tr>
      <w:tr w14:paraId="61A95602">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0" w:type="dxa"/>
            <w:bottom w:w="0" w:type="dxa"/>
            <w:right w:w="0" w:type="dxa"/>
          </w:tblCellMar>
        </w:tblPrEx>
        <w:trPr>
          <w:trHeight w:val="626" w:hRule="atLeast"/>
        </w:trPr>
        <w:tc>
          <w:tcPr>
            <w:tcW w:w="709" w:type="dxa"/>
            <w:shd w:val="clear" w:color="auto" w:fill="auto"/>
            <w:tcMar>
              <w:top w:w="72" w:type="dxa"/>
              <w:left w:w="144" w:type="dxa"/>
              <w:bottom w:w="72" w:type="dxa"/>
              <w:right w:w="144" w:type="dxa"/>
            </w:tcMar>
            <w:vAlign w:val="center"/>
          </w:tcPr>
          <w:p w14:paraId="60C49592">
            <w:pPr>
              <w:kinsoku/>
              <w:autoSpaceDE/>
              <w:autoSpaceDN/>
              <w:adjustRightInd/>
              <w:snapToGrid/>
              <w:spacing w:before="0" w:line="240" w:lineRule="auto"/>
              <w:textAlignment w:val="auto"/>
              <w:rPr>
                <w:rFonts w:ascii="宋体" w:hAnsi="宋体" w:eastAsia="宋体" w:cs="Arial"/>
                <w:b w:val="0"/>
                <w:bCs w:val="0"/>
                <w:snapToGrid/>
                <w:color w:val="000000" w:themeColor="text1"/>
                <w:kern w:val="24"/>
                <w:sz w:val="21"/>
                <w:szCs w:val="21"/>
                <w14:textFill>
                  <w14:solidFill>
                    <w14:schemeClr w14:val="tx1"/>
                  </w14:solidFill>
                </w14:textFill>
              </w:rPr>
            </w:pPr>
            <w:r>
              <w:rPr>
                <w:rFonts w:hint="eastAsia" w:ascii="宋体" w:hAnsi="宋体" w:eastAsia="宋体" w:cs="Arial"/>
                <w:b w:val="0"/>
                <w:bCs w:val="0"/>
                <w:snapToGrid/>
                <w:color w:val="000000" w:themeColor="text1"/>
                <w:kern w:val="24"/>
                <w:sz w:val="21"/>
                <w:szCs w:val="21"/>
                <w14:textFill>
                  <w14:solidFill>
                    <w14:schemeClr w14:val="tx1"/>
                  </w14:solidFill>
                </w14:textFill>
              </w:rPr>
              <w:t>7</w:t>
            </w:r>
          </w:p>
        </w:tc>
        <w:tc>
          <w:tcPr>
            <w:tcW w:w="3544" w:type="dxa"/>
            <w:shd w:val="clear" w:color="auto" w:fill="auto"/>
            <w:tcMar>
              <w:top w:w="72" w:type="dxa"/>
              <w:left w:w="144" w:type="dxa"/>
              <w:bottom w:w="72" w:type="dxa"/>
              <w:right w:w="144" w:type="dxa"/>
            </w:tcMar>
            <w:vAlign w:val="center"/>
          </w:tcPr>
          <w:p w14:paraId="6A04F709">
            <w:pPr>
              <w:kinsoku/>
              <w:autoSpaceDE/>
              <w:autoSpaceDN/>
              <w:adjustRightInd/>
              <w:snapToGrid/>
              <w:spacing w:before="0" w:line="240" w:lineRule="auto"/>
              <w:textAlignment w:val="auto"/>
              <w:rPr>
                <w:rFonts w:ascii="宋体" w:hAnsi="宋体" w:eastAsia="宋体" w:cs="Arial"/>
                <w:b w:val="0"/>
                <w:bCs w:val="0"/>
                <w:snapToGrid/>
                <w:color w:val="000000" w:themeColor="text1"/>
                <w:kern w:val="24"/>
                <w:sz w:val="21"/>
                <w:szCs w:val="21"/>
                <w14:textFill>
                  <w14:solidFill>
                    <w14:schemeClr w14:val="tx1"/>
                  </w14:solidFill>
                </w14:textFill>
              </w:rPr>
            </w:pPr>
            <w:r>
              <w:rPr>
                <w:rFonts w:hint="eastAsia" w:ascii="宋体" w:hAnsi="宋体" w:eastAsia="宋体" w:cs="宋体"/>
                <w:b w:val="0"/>
                <w:bCs w:val="0"/>
                <w:snapToGrid/>
                <w:color w:val="000000" w:themeColor="text1"/>
                <w:kern w:val="24"/>
                <w:sz w:val="21"/>
                <w:szCs w:val="21"/>
                <w14:textFill>
                  <w14:solidFill>
                    <w14:schemeClr w14:val="tx1"/>
                  </w14:solidFill>
                </w14:textFill>
              </w:rPr>
              <w:t>GB/T 29639《生产经营单位生产安全事故应急预案编制导则》</w:t>
            </w:r>
          </w:p>
        </w:tc>
        <w:tc>
          <w:tcPr>
            <w:tcW w:w="851" w:type="dxa"/>
            <w:shd w:val="clear" w:color="auto" w:fill="auto"/>
            <w:tcMar>
              <w:top w:w="72" w:type="dxa"/>
              <w:left w:w="144" w:type="dxa"/>
              <w:bottom w:w="72" w:type="dxa"/>
              <w:right w:w="144" w:type="dxa"/>
            </w:tcMar>
            <w:vAlign w:val="center"/>
          </w:tcPr>
          <w:p w14:paraId="5F2D8068">
            <w:pPr>
              <w:kinsoku/>
              <w:autoSpaceDE/>
              <w:autoSpaceDN/>
              <w:adjustRightInd/>
              <w:snapToGrid/>
              <w:spacing w:before="0" w:line="240" w:lineRule="auto"/>
              <w:textAlignment w:val="auto"/>
              <w:rPr>
                <w:rFonts w:ascii="Arial" w:hAnsi="Arial" w:eastAsia="宋体" w:cs="Arial"/>
                <w:b w:val="0"/>
                <w:bCs w:val="0"/>
                <w:snapToGrid/>
                <w:color w:val="auto"/>
                <w:sz w:val="21"/>
                <w:szCs w:val="21"/>
              </w:rPr>
            </w:pPr>
            <w:r>
              <w:rPr>
                <w:rFonts w:hint="eastAsia" w:ascii="Arial" w:hAnsi="Arial" w:eastAsia="宋体" w:cs="Arial"/>
                <w:b w:val="0"/>
                <w:bCs w:val="0"/>
                <w:snapToGrid/>
                <w:color w:val="auto"/>
                <w:sz w:val="21"/>
                <w:szCs w:val="21"/>
              </w:rPr>
              <w:t>19</w:t>
            </w:r>
          </w:p>
        </w:tc>
        <w:tc>
          <w:tcPr>
            <w:tcW w:w="4110" w:type="dxa"/>
            <w:shd w:val="clear" w:color="auto" w:fill="auto"/>
            <w:tcMar>
              <w:top w:w="72" w:type="dxa"/>
              <w:left w:w="144" w:type="dxa"/>
              <w:bottom w:w="72" w:type="dxa"/>
              <w:right w:w="144" w:type="dxa"/>
            </w:tcMar>
            <w:vAlign w:val="center"/>
          </w:tcPr>
          <w:p w14:paraId="4A91E82F">
            <w:pPr>
              <w:kinsoku/>
              <w:autoSpaceDE/>
              <w:autoSpaceDN/>
              <w:adjustRightInd/>
              <w:snapToGrid/>
              <w:spacing w:before="0" w:line="240" w:lineRule="auto"/>
              <w:textAlignment w:val="auto"/>
              <w:rPr>
                <w:rFonts w:ascii="Arial" w:hAnsi="Arial" w:eastAsia="宋体" w:cs="Arial"/>
                <w:b w:val="0"/>
                <w:bCs w:val="0"/>
                <w:snapToGrid/>
                <w:color w:val="auto"/>
                <w:sz w:val="21"/>
                <w:szCs w:val="21"/>
              </w:rPr>
            </w:pPr>
            <w:r>
              <w:rPr>
                <w:rFonts w:ascii="Arial" w:hAnsi="Arial" w:eastAsia="宋体" w:cs="Arial"/>
                <w:b w:val="0"/>
                <w:bCs w:val="0"/>
                <w:snapToGrid/>
                <w:color w:val="auto"/>
                <w:sz w:val="21"/>
                <w:szCs w:val="21"/>
              </w:rPr>
              <w:t xml:space="preserve">JGJ/T 131—2012 </w:t>
            </w:r>
            <w:r>
              <w:rPr>
                <w:rFonts w:hint="eastAsia" w:ascii="Arial" w:hAnsi="Arial" w:eastAsia="宋体" w:cs="Arial"/>
                <w:b w:val="0"/>
                <w:bCs w:val="0"/>
                <w:snapToGrid/>
                <w:color w:val="auto"/>
                <w:sz w:val="21"/>
                <w:szCs w:val="21"/>
              </w:rPr>
              <w:t>《</w:t>
            </w:r>
            <w:r>
              <w:rPr>
                <w:rFonts w:ascii="Arial" w:hAnsi="Arial" w:eastAsia="宋体" w:cs="Arial"/>
                <w:b w:val="0"/>
                <w:bCs w:val="0"/>
                <w:snapToGrid/>
                <w:color w:val="auto"/>
                <w:sz w:val="21"/>
                <w:szCs w:val="21"/>
              </w:rPr>
              <w:t xml:space="preserve"> 体育场馆声学设计及测量规程</w:t>
            </w:r>
            <w:r>
              <w:rPr>
                <w:rFonts w:hint="eastAsia" w:ascii="Arial" w:hAnsi="Arial" w:eastAsia="宋体" w:cs="Arial"/>
                <w:b w:val="0"/>
                <w:bCs w:val="0"/>
                <w:snapToGrid/>
                <w:color w:val="auto"/>
                <w:sz w:val="21"/>
                <w:szCs w:val="21"/>
              </w:rPr>
              <w:t>》</w:t>
            </w:r>
          </w:p>
        </w:tc>
      </w:tr>
      <w:tr w14:paraId="040AE62D">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0" w:type="dxa"/>
            <w:bottom w:w="0" w:type="dxa"/>
            <w:right w:w="0" w:type="dxa"/>
          </w:tblCellMar>
        </w:tblPrEx>
        <w:trPr>
          <w:trHeight w:val="626" w:hRule="atLeast"/>
        </w:trPr>
        <w:tc>
          <w:tcPr>
            <w:tcW w:w="709" w:type="dxa"/>
            <w:shd w:val="clear" w:color="auto" w:fill="auto"/>
            <w:tcMar>
              <w:top w:w="72" w:type="dxa"/>
              <w:left w:w="144" w:type="dxa"/>
              <w:bottom w:w="72" w:type="dxa"/>
              <w:right w:w="144" w:type="dxa"/>
            </w:tcMar>
            <w:vAlign w:val="center"/>
          </w:tcPr>
          <w:p w14:paraId="59FB97B9">
            <w:pPr>
              <w:kinsoku/>
              <w:autoSpaceDE/>
              <w:autoSpaceDN/>
              <w:adjustRightInd/>
              <w:snapToGrid/>
              <w:spacing w:before="0" w:line="240" w:lineRule="auto"/>
              <w:textAlignment w:val="auto"/>
              <w:rPr>
                <w:rFonts w:ascii="宋体" w:hAnsi="宋体" w:eastAsia="宋体" w:cs="Arial"/>
                <w:b w:val="0"/>
                <w:bCs w:val="0"/>
                <w:snapToGrid/>
                <w:color w:val="000000" w:themeColor="text1"/>
                <w:kern w:val="24"/>
                <w:sz w:val="21"/>
                <w:szCs w:val="21"/>
                <w14:textFill>
                  <w14:solidFill>
                    <w14:schemeClr w14:val="tx1"/>
                  </w14:solidFill>
                </w14:textFill>
              </w:rPr>
            </w:pPr>
            <w:r>
              <w:rPr>
                <w:rFonts w:hint="eastAsia" w:ascii="宋体" w:hAnsi="宋体" w:eastAsia="宋体" w:cs="Arial"/>
                <w:b w:val="0"/>
                <w:bCs w:val="0"/>
                <w:snapToGrid/>
                <w:color w:val="000000" w:themeColor="text1"/>
                <w:kern w:val="24"/>
                <w:sz w:val="21"/>
                <w:szCs w:val="21"/>
                <w14:textFill>
                  <w14:solidFill>
                    <w14:schemeClr w14:val="tx1"/>
                  </w14:solidFill>
                </w14:textFill>
              </w:rPr>
              <w:t>8</w:t>
            </w:r>
          </w:p>
        </w:tc>
        <w:tc>
          <w:tcPr>
            <w:tcW w:w="3544" w:type="dxa"/>
            <w:shd w:val="clear" w:color="auto" w:fill="auto"/>
            <w:tcMar>
              <w:top w:w="72" w:type="dxa"/>
              <w:left w:w="144" w:type="dxa"/>
              <w:bottom w:w="72" w:type="dxa"/>
              <w:right w:w="144" w:type="dxa"/>
            </w:tcMar>
            <w:vAlign w:val="center"/>
          </w:tcPr>
          <w:p w14:paraId="132BB8CA">
            <w:pPr>
              <w:kinsoku/>
              <w:autoSpaceDE/>
              <w:autoSpaceDN/>
              <w:adjustRightInd/>
              <w:snapToGrid/>
              <w:spacing w:before="0" w:line="240" w:lineRule="auto"/>
              <w:textAlignment w:val="auto"/>
              <w:rPr>
                <w:rFonts w:ascii="宋体" w:hAnsi="宋体" w:eastAsia="宋体" w:cs="Arial"/>
                <w:b w:val="0"/>
                <w:bCs w:val="0"/>
                <w:snapToGrid/>
                <w:color w:val="000000" w:themeColor="text1"/>
                <w:kern w:val="24"/>
                <w:sz w:val="21"/>
                <w:szCs w:val="21"/>
                <w14:textFill>
                  <w14:solidFill>
                    <w14:schemeClr w14:val="tx1"/>
                  </w14:solidFill>
                </w14:textFill>
              </w:rPr>
            </w:pPr>
            <w:r>
              <w:rPr>
                <w:rFonts w:hint="eastAsia" w:ascii="宋体" w:hAnsi="宋体" w:eastAsia="宋体" w:cs="宋体"/>
                <w:b w:val="0"/>
                <w:bCs w:val="0"/>
                <w:snapToGrid/>
                <w:color w:val="000000" w:themeColor="text1"/>
                <w:kern w:val="24"/>
                <w:sz w:val="21"/>
                <w:szCs w:val="21"/>
                <w14:textFill>
                  <w14:solidFill>
                    <w14:schemeClr w14:val="tx1"/>
                  </w14:solidFill>
                </w14:textFill>
              </w:rPr>
              <w:t>GB/T 41091《人员密集场所电气安全风险评估 风险降低指南》</w:t>
            </w:r>
          </w:p>
        </w:tc>
        <w:tc>
          <w:tcPr>
            <w:tcW w:w="851" w:type="dxa"/>
            <w:shd w:val="clear" w:color="auto" w:fill="auto"/>
            <w:tcMar>
              <w:top w:w="72" w:type="dxa"/>
              <w:left w:w="144" w:type="dxa"/>
              <w:bottom w:w="72" w:type="dxa"/>
              <w:right w:w="144" w:type="dxa"/>
            </w:tcMar>
            <w:vAlign w:val="center"/>
          </w:tcPr>
          <w:p w14:paraId="6B6343FF">
            <w:pPr>
              <w:kinsoku/>
              <w:autoSpaceDE/>
              <w:autoSpaceDN/>
              <w:adjustRightInd/>
              <w:snapToGrid/>
              <w:spacing w:before="0" w:line="240" w:lineRule="auto"/>
              <w:textAlignment w:val="auto"/>
              <w:rPr>
                <w:rFonts w:ascii="Arial" w:hAnsi="Arial" w:eastAsia="宋体" w:cs="Arial"/>
                <w:b w:val="0"/>
                <w:bCs w:val="0"/>
                <w:snapToGrid/>
                <w:color w:val="auto"/>
                <w:sz w:val="21"/>
                <w:szCs w:val="21"/>
              </w:rPr>
            </w:pPr>
            <w:r>
              <w:rPr>
                <w:rFonts w:hint="eastAsia" w:ascii="Arial" w:hAnsi="Arial" w:eastAsia="宋体" w:cs="Arial"/>
                <w:b w:val="0"/>
                <w:bCs w:val="0"/>
                <w:snapToGrid/>
                <w:color w:val="auto"/>
                <w:sz w:val="21"/>
                <w:szCs w:val="21"/>
              </w:rPr>
              <w:t>20</w:t>
            </w:r>
          </w:p>
        </w:tc>
        <w:tc>
          <w:tcPr>
            <w:tcW w:w="4110" w:type="dxa"/>
            <w:shd w:val="clear" w:color="auto" w:fill="auto"/>
            <w:tcMar>
              <w:top w:w="72" w:type="dxa"/>
              <w:left w:w="144" w:type="dxa"/>
              <w:bottom w:w="72" w:type="dxa"/>
              <w:right w:w="144" w:type="dxa"/>
            </w:tcMar>
            <w:vAlign w:val="center"/>
          </w:tcPr>
          <w:p w14:paraId="50C97A25">
            <w:pPr>
              <w:kinsoku/>
              <w:autoSpaceDE/>
              <w:autoSpaceDN/>
              <w:adjustRightInd/>
              <w:snapToGrid/>
              <w:spacing w:before="0" w:line="240" w:lineRule="auto"/>
              <w:textAlignment w:val="auto"/>
              <w:rPr>
                <w:rFonts w:ascii="Arial" w:hAnsi="Arial" w:eastAsia="宋体" w:cs="Arial"/>
                <w:b w:val="0"/>
                <w:bCs w:val="0"/>
                <w:snapToGrid/>
                <w:color w:val="auto"/>
                <w:sz w:val="21"/>
                <w:szCs w:val="21"/>
              </w:rPr>
            </w:pPr>
            <w:r>
              <w:rPr>
                <w:rFonts w:ascii="Arial" w:hAnsi="Arial" w:eastAsia="宋体" w:cs="Arial"/>
                <w:b w:val="0"/>
                <w:bCs w:val="0"/>
                <w:snapToGrid/>
                <w:color w:val="auto"/>
                <w:sz w:val="21"/>
                <w:szCs w:val="21"/>
              </w:rPr>
              <w:t xml:space="preserve">GB/T 28049-2011   </w:t>
            </w:r>
            <w:r>
              <w:rPr>
                <w:rFonts w:hint="eastAsia" w:ascii="Arial" w:hAnsi="Arial" w:eastAsia="宋体" w:cs="Arial"/>
                <w:b w:val="0"/>
                <w:bCs w:val="0"/>
                <w:snapToGrid/>
                <w:color w:val="auto"/>
                <w:sz w:val="21"/>
                <w:szCs w:val="21"/>
              </w:rPr>
              <w:t>《</w:t>
            </w:r>
            <w:r>
              <w:rPr>
                <w:rFonts w:ascii="Arial" w:hAnsi="Arial" w:eastAsia="宋体" w:cs="Arial"/>
                <w:b w:val="0"/>
                <w:bCs w:val="0"/>
                <w:snapToGrid/>
                <w:color w:val="auto"/>
                <w:sz w:val="21"/>
                <w:szCs w:val="21"/>
              </w:rPr>
              <w:t>厅堂、体育场馆扩声系统设计规范</w:t>
            </w:r>
            <w:r>
              <w:rPr>
                <w:rFonts w:hint="eastAsia" w:ascii="Arial" w:hAnsi="Arial" w:eastAsia="宋体" w:cs="Arial"/>
                <w:b w:val="0"/>
                <w:bCs w:val="0"/>
                <w:snapToGrid/>
                <w:color w:val="auto"/>
                <w:sz w:val="21"/>
                <w:szCs w:val="21"/>
              </w:rPr>
              <w:t>》</w:t>
            </w:r>
          </w:p>
        </w:tc>
      </w:tr>
      <w:tr w14:paraId="77252AAD">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0" w:type="dxa"/>
            <w:bottom w:w="0" w:type="dxa"/>
            <w:right w:w="0" w:type="dxa"/>
          </w:tblCellMar>
        </w:tblPrEx>
        <w:trPr>
          <w:trHeight w:val="626" w:hRule="atLeast"/>
        </w:trPr>
        <w:tc>
          <w:tcPr>
            <w:tcW w:w="709" w:type="dxa"/>
            <w:shd w:val="clear" w:color="auto" w:fill="auto"/>
            <w:tcMar>
              <w:top w:w="72" w:type="dxa"/>
              <w:left w:w="144" w:type="dxa"/>
              <w:bottom w:w="72" w:type="dxa"/>
              <w:right w:w="144" w:type="dxa"/>
            </w:tcMar>
            <w:vAlign w:val="center"/>
          </w:tcPr>
          <w:p w14:paraId="06E678EF">
            <w:pPr>
              <w:kinsoku/>
              <w:autoSpaceDE/>
              <w:autoSpaceDN/>
              <w:adjustRightInd/>
              <w:snapToGrid/>
              <w:spacing w:before="0" w:line="240" w:lineRule="auto"/>
              <w:textAlignment w:val="auto"/>
              <w:rPr>
                <w:rFonts w:ascii="宋体" w:hAnsi="宋体" w:eastAsia="宋体" w:cs="Arial"/>
                <w:b w:val="0"/>
                <w:bCs w:val="0"/>
                <w:snapToGrid/>
                <w:color w:val="000000" w:themeColor="text1"/>
                <w:kern w:val="24"/>
                <w:sz w:val="21"/>
                <w:szCs w:val="21"/>
                <w14:textFill>
                  <w14:solidFill>
                    <w14:schemeClr w14:val="tx1"/>
                  </w14:solidFill>
                </w14:textFill>
              </w:rPr>
            </w:pPr>
            <w:r>
              <w:rPr>
                <w:rFonts w:hint="eastAsia" w:ascii="宋体" w:hAnsi="宋体" w:eastAsia="宋体" w:cs="Arial"/>
                <w:b w:val="0"/>
                <w:bCs w:val="0"/>
                <w:snapToGrid/>
                <w:color w:val="000000" w:themeColor="text1"/>
                <w:kern w:val="24"/>
                <w:sz w:val="21"/>
                <w:szCs w:val="21"/>
                <w14:textFill>
                  <w14:solidFill>
                    <w14:schemeClr w14:val="tx1"/>
                  </w14:solidFill>
                </w14:textFill>
              </w:rPr>
              <w:t>9</w:t>
            </w:r>
          </w:p>
        </w:tc>
        <w:tc>
          <w:tcPr>
            <w:tcW w:w="3544" w:type="dxa"/>
            <w:shd w:val="clear" w:color="auto" w:fill="auto"/>
            <w:tcMar>
              <w:top w:w="72" w:type="dxa"/>
              <w:left w:w="144" w:type="dxa"/>
              <w:bottom w:w="72" w:type="dxa"/>
              <w:right w:w="144" w:type="dxa"/>
            </w:tcMar>
            <w:vAlign w:val="center"/>
          </w:tcPr>
          <w:p w14:paraId="413E2D39">
            <w:pPr>
              <w:kinsoku/>
              <w:autoSpaceDE/>
              <w:autoSpaceDN/>
              <w:adjustRightInd/>
              <w:snapToGrid/>
              <w:spacing w:before="0" w:line="240" w:lineRule="auto"/>
              <w:textAlignment w:val="auto"/>
              <w:rPr>
                <w:rFonts w:ascii="宋体" w:hAnsi="宋体" w:eastAsia="宋体" w:cs="Arial"/>
                <w:b w:val="0"/>
                <w:bCs w:val="0"/>
                <w:snapToGrid/>
                <w:color w:val="000000" w:themeColor="text1"/>
                <w:kern w:val="24"/>
                <w:sz w:val="21"/>
                <w:szCs w:val="21"/>
                <w14:textFill>
                  <w14:solidFill>
                    <w14:schemeClr w14:val="tx1"/>
                  </w14:solidFill>
                </w14:textFill>
              </w:rPr>
            </w:pPr>
            <w:r>
              <w:rPr>
                <w:rFonts w:hint="eastAsia" w:ascii="宋体" w:hAnsi="宋体" w:eastAsia="宋体" w:cs="宋体"/>
                <w:b w:val="0"/>
                <w:bCs w:val="0"/>
                <w:snapToGrid/>
                <w:color w:val="000000" w:themeColor="text1"/>
                <w:kern w:val="24"/>
                <w:sz w:val="21"/>
                <w:szCs w:val="21"/>
                <w14:textFill>
                  <w14:solidFill>
                    <w14:schemeClr w14:val="tx1"/>
                  </w14:solidFill>
                </w14:textFill>
              </w:rPr>
              <w:t>GB/T 38315《社会单位灭火和应急疏散预案编制及实施导则》</w:t>
            </w:r>
          </w:p>
        </w:tc>
        <w:tc>
          <w:tcPr>
            <w:tcW w:w="851" w:type="dxa"/>
            <w:shd w:val="clear" w:color="auto" w:fill="auto"/>
            <w:tcMar>
              <w:top w:w="72" w:type="dxa"/>
              <w:left w:w="144" w:type="dxa"/>
              <w:bottom w:w="72" w:type="dxa"/>
              <w:right w:w="144" w:type="dxa"/>
            </w:tcMar>
            <w:vAlign w:val="center"/>
          </w:tcPr>
          <w:p w14:paraId="11B3F590">
            <w:pPr>
              <w:kinsoku/>
              <w:autoSpaceDE/>
              <w:autoSpaceDN/>
              <w:adjustRightInd/>
              <w:snapToGrid/>
              <w:spacing w:before="0" w:line="240" w:lineRule="auto"/>
              <w:textAlignment w:val="auto"/>
              <w:rPr>
                <w:rFonts w:ascii="Arial" w:hAnsi="Arial" w:eastAsia="宋体" w:cs="Arial"/>
                <w:b w:val="0"/>
                <w:bCs w:val="0"/>
                <w:snapToGrid/>
                <w:color w:val="auto"/>
                <w:sz w:val="21"/>
                <w:szCs w:val="21"/>
              </w:rPr>
            </w:pPr>
            <w:r>
              <w:rPr>
                <w:rFonts w:hint="eastAsia" w:ascii="Arial" w:hAnsi="Arial" w:eastAsia="宋体" w:cs="Arial"/>
                <w:b w:val="0"/>
                <w:bCs w:val="0"/>
                <w:snapToGrid/>
                <w:color w:val="auto"/>
                <w:sz w:val="21"/>
                <w:szCs w:val="21"/>
              </w:rPr>
              <w:t>21</w:t>
            </w:r>
          </w:p>
        </w:tc>
        <w:tc>
          <w:tcPr>
            <w:tcW w:w="4110" w:type="dxa"/>
            <w:shd w:val="clear" w:color="auto" w:fill="auto"/>
            <w:tcMar>
              <w:top w:w="72" w:type="dxa"/>
              <w:left w:w="144" w:type="dxa"/>
              <w:bottom w:w="72" w:type="dxa"/>
              <w:right w:w="144" w:type="dxa"/>
            </w:tcMar>
            <w:vAlign w:val="center"/>
          </w:tcPr>
          <w:p w14:paraId="1DC00C20">
            <w:pPr>
              <w:kinsoku/>
              <w:autoSpaceDE/>
              <w:autoSpaceDN/>
              <w:adjustRightInd/>
              <w:snapToGrid/>
              <w:spacing w:before="0" w:line="240" w:lineRule="auto"/>
              <w:textAlignment w:val="auto"/>
              <w:rPr>
                <w:rFonts w:ascii="Arial" w:hAnsi="Arial" w:eastAsia="宋体" w:cs="Arial"/>
                <w:b w:val="0"/>
                <w:bCs w:val="0"/>
                <w:snapToGrid/>
                <w:color w:val="auto"/>
                <w:sz w:val="21"/>
                <w:szCs w:val="21"/>
              </w:rPr>
            </w:pPr>
            <w:r>
              <w:rPr>
                <w:rFonts w:ascii="Arial" w:hAnsi="Arial" w:eastAsia="宋体" w:cs="Arial"/>
                <w:b w:val="0"/>
                <w:bCs w:val="0"/>
                <w:snapToGrid/>
                <w:color w:val="auto"/>
                <w:sz w:val="21"/>
                <w:szCs w:val="21"/>
              </w:rPr>
              <w:t>GB 37488-2019</w:t>
            </w:r>
            <w:r>
              <w:rPr>
                <w:rFonts w:hint="eastAsia" w:ascii="Arial" w:hAnsi="Arial" w:eastAsia="宋体" w:cs="Arial"/>
                <w:b w:val="0"/>
                <w:bCs w:val="0"/>
                <w:snapToGrid/>
                <w:color w:val="auto"/>
                <w:sz w:val="21"/>
                <w:szCs w:val="21"/>
              </w:rPr>
              <w:t>《</w:t>
            </w:r>
            <w:r>
              <w:rPr>
                <w:rFonts w:ascii="Arial" w:hAnsi="Arial" w:eastAsia="宋体" w:cs="Arial"/>
                <w:b w:val="0"/>
                <w:bCs w:val="0"/>
                <w:snapToGrid/>
                <w:color w:val="auto"/>
                <w:sz w:val="21"/>
                <w:szCs w:val="21"/>
              </w:rPr>
              <w:t>公共场所卫生指标及限值要求</w:t>
            </w:r>
            <w:r>
              <w:rPr>
                <w:rFonts w:hint="eastAsia" w:ascii="Arial" w:hAnsi="Arial" w:eastAsia="宋体" w:cs="Arial"/>
                <w:b w:val="0"/>
                <w:bCs w:val="0"/>
                <w:snapToGrid/>
                <w:color w:val="auto"/>
                <w:sz w:val="21"/>
                <w:szCs w:val="21"/>
              </w:rPr>
              <w:t>》</w:t>
            </w:r>
          </w:p>
        </w:tc>
      </w:tr>
      <w:tr w14:paraId="11393B8C">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0" w:type="dxa"/>
            <w:bottom w:w="0" w:type="dxa"/>
            <w:right w:w="0" w:type="dxa"/>
          </w:tblCellMar>
        </w:tblPrEx>
        <w:trPr>
          <w:trHeight w:val="626" w:hRule="atLeast"/>
        </w:trPr>
        <w:tc>
          <w:tcPr>
            <w:tcW w:w="709" w:type="dxa"/>
            <w:shd w:val="clear" w:color="auto" w:fill="auto"/>
            <w:tcMar>
              <w:top w:w="72" w:type="dxa"/>
              <w:left w:w="144" w:type="dxa"/>
              <w:bottom w:w="72" w:type="dxa"/>
              <w:right w:w="144" w:type="dxa"/>
            </w:tcMar>
            <w:vAlign w:val="center"/>
          </w:tcPr>
          <w:p w14:paraId="3D61784F">
            <w:pPr>
              <w:kinsoku/>
              <w:autoSpaceDE/>
              <w:autoSpaceDN/>
              <w:adjustRightInd/>
              <w:snapToGrid/>
              <w:spacing w:before="0" w:line="240" w:lineRule="auto"/>
              <w:textAlignment w:val="auto"/>
              <w:rPr>
                <w:rFonts w:ascii="宋体" w:hAnsi="宋体" w:eastAsia="宋体" w:cs="Arial"/>
                <w:b w:val="0"/>
                <w:bCs w:val="0"/>
                <w:snapToGrid/>
                <w:color w:val="000000" w:themeColor="text1"/>
                <w:kern w:val="24"/>
                <w:sz w:val="21"/>
                <w:szCs w:val="21"/>
                <w14:textFill>
                  <w14:solidFill>
                    <w14:schemeClr w14:val="tx1"/>
                  </w14:solidFill>
                </w14:textFill>
              </w:rPr>
            </w:pPr>
            <w:r>
              <w:rPr>
                <w:rFonts w:hint="eastAsia" w:ascii="宋体" w:hAnsi="宋体" w:eastAsia="宋体" w:cs="Arial"/>
                <w:b w:val="0"/>
                <w:bCs w:val="0"/>
                <w:snapToGrid/>
                <w:color w:val="000000" w:themeColor="text1"/>
                <w:kern w:val="24"/>
                <w:sz w:val="21"/>
                <w:szCs w:val="21"/>
                <w14:textFill>
                  <w14:solidFill>
                    <w14:schemeClr w14:val="tx1"/>
                  </w14:solidFill>
                </w14:textFill>
              </w:rPr>
              <w:t>10</w:t>
            </w:r>
          </w:p>
        </w:tc>
        <w:tc>
          <w:tcPr>
            <w:tcW w:w="3544" w:type="dxa"/>
            <w:shd w:val="clear" w:color="auto" w:fill="auto"/>
            <w:tcMar>
              <w:top w:w="72" w:type="dxa"/>
              <w:left w:w="144" w:type="dxa"/>
              <w:bottom w:w="72" w:type="dxa"/>
              <w:right w:w="144" w:type="dxa"/>
            </w:tcMar>
            <w:vAlign w:val="center"/>
          </w:tcPr>
          <w:p w14:paraId="2227CB4F">
            <w:pPr>
              <w:kinsoku/>
              <w:autoSpaceDE/>
              <w:autoSpaceDN/>
              <w:adjustRightInd/>
              <w:snapToGrid/>
              <w:spacing w:before="0" w:line="240" w:lineRule="auto"/>
              <w:textAlignment w:val="auto"/>
              <w:rPr>
                <w:rFonts w:ascii="宋体" w:hAnsi="宋体" w:eastAsia="宋体" w:cs="Arial"/>
                <w:b w:val="0"/>
                <w:bCs w:val="0"/>
                <w:snapToGrid/>
                <w:color w:val="000000" w:themeColor="text1"/>
                <w:kern w:val="24"/>
                <w:sz w:val="21"/>
                <w:szCs w:val="21"/>
                <w14:textFill>
                  <w14:solidFill>
                    <w14:schemeClr w14:val="tx1"/>
                  </w14:solidFill>
                </w14:textFill>
              </w:rPr>
            </w:pPr>
            <w:r>
              <w:rPr>
                <w:rFonts w:hint="eastAsia" w:ascii="宋体" w:hAnsi="宋体" w:eastAsia="宋体" w:cs="宋体"/>
                <w:b w:val="0"/>
                <w:bCs w:val="0"/>
                <w:snapToGrid/>
                <w:color w:val="000000" w:themeColor="text1"/>
                <w:kern w:val="24"/>
                <w:sz w:val="21"/>
                <w:szCs w:val="21"/>
                <w14:textFill>
                  <w14:solidFill>
                    <w14:schemeClr w14:val="tx1"/>
                  </w14:solidFill>
                </w14:textFill>
              </w:rPr>
              <w:t>GB/T 22185《体育场馆公共安全通用要求》</w:t>
            </w:r>
          </w:p>
        </w:tc>
        <w:tc>
          <w:tcPr>
            <w:tcW w:w="851" w:type="dxa"/>
            <w:shd w:val="clear" w:color="auto" w:fill="auto"/>
            <w:tcMar>
              <w:top w:w="72" w:type="dxa"/>
              <w:left w:w="144" w:type="dxa"/>
              <w:bottom w:w="72" w:type="dxa"/>
              <w:right w:w="144" w:type="dxa"/>
            </w:tcMar>
            <w:vAlign w:val="center"/>
          </w:tcPr>
          <w:p w14:paraId="2C3F8F6A">
            <w:pPr>
              <w:kinsoku/>
              <w:autoSpaceDE/>
              <w:autoSpaceDN/>
              <w:adjustRightInd/>
              <w:snapToGrid/>
              <w:spacing w:before="0" w:line="240" w:lineRule="auto"/>
              <w:textAlignment w:val="auto"/>
              <w:rPr>
                <w:rFonts w:ascii="Arial" w:hAnsi="Arial" w:eastAsia="宋体" w:cs="Arial"/>
                <w:b w:val="0"/>
                <w:bCs w:val="0"/>
                <w:snapToGrid/>
                <w:color w:val="auto"/>
                <w:sz w:val="21"/>
                <w:szCs w:val="21"/>
              </w:rPr>
            </w:pPr>
            <w:r>
              <w:rPr>
                <w:rFonts w:hint="eastAsia" w:ascii="Arial" w:hAnsi="Arial" w:eastAsia="宋体" w:cs="Arial"/>
                <w:b w:val="0"/>
                <w:bCs w:val="0"/>
                <w:snapToGrid/>
                <w:color w:val="auto"/>
                <w:sz w:val="21"/>
                <w:szCs w:val="21"/>
              </w:rPr>
              <w:t>22</w:t>
            </w:r>
          </w:p>
        </w:tc>
        <w:tc>
          <w:tcPr>
            <w:tcW w:w="4110" w:type="dxa"/>
            <w:shd w:val="clear" w:color="auto" w:fill="auto"/>
            <w:tcMar>
              <w:top w:w="72" w:type="dxa"/>
              <w:left w:w="144" w:type="dxa"/>
              <w:bottom w:w="72" w:type="dxa"/>
              <w:right w:w="144" w:type="dxa"/>
            </w:tcMar>
            <w:vAlign w:val="center"/>
          </w:tcPr>
          <w:p w14:paraId="02C0639D">
            <w:pPr>
              <w:kinsoku/>
              <w:autoSpaceDE/>
              <w:autoSpaceDN/>
              <w:adjustRightInd/>
              <w:snapToGrid/>
              <w:spacing w:before="0" w:line="240" w:lineRule="auto"/>
              <w:textAlignment w:val="auto"/>
              <w:rPr>
                <w:rFonts w:ascii="Arial" w:hAnsi="Arial" w:eastAsia="宋体" w:cs="Arial"/>
                <w:b w:val="0"/>
                <w:bCs w:val="0"/>
                <w:snapToGrid/>
                <w:color w:val="auto"/>
                <w:sz w:val="21"/>
                <w:szCs w:val="21"/>
              </w:rPr>
            </w:pPr>
            <w:r>
              <w:rPr>
                <w:rFonts w:ascii="Arial" w:hAnsi="Arial" w:eastAsia="宋体" w:cs="Arial"/>
                <w:b w:val="0"/>
                <w:bCs w:val="0"/>
                <w:snapToGrid/>
                <w:color w:val="auto"/>
                <w:sz w:val="21"/>
                <w:szCs w:val="21"/>
              </w:rPr>
              <w:t xml:space="preserve">GB/T 29458 </w:t>
            </w:r>
            <w:r>
              <w:rPr>
                <w:rFonts w:hint="eastAsia" w:ascii="Arial" w:hAnsi="Arial" w:eastAsia="宋体" w:cs="Arial"/>
                <w:b w:val="0"/>
                <w:bCs w:val="0"/>
                <w:snapToGrid/>
                <w:color w:val="auto"/>
                <w:sz w:val="21"/>
                <w:szCs w:val="21"/>
              </w:rPr>
              <w:t>《</w:t>
            </w:r>
            <w:r>
              <w:rPr>
                <w:rFonts w:ascii="Arial" w:hAnsi="Arial" w:eastAsia="宋体" w:cs="Arial"/>
                <w:b w:val="0"/>
                <w:bCs w:val="0"/>
                <w:snapToGrid/>
                <w:color w:val="auto"/>
                <w:sz w:val="21"/>
                <w:szCs w:val="21"/>
              </w:rPr>
              <w:t>体育场馆LED显示屏使用要求及检验方法</w:t>
            </w:r>
            <w:r>
              <w:rPr>
                <w:rFonts w:hint="eastAsia" w:ascii="Arial" w:hAnsi="Arial" w:eastAsia="宋体" w:cs="Arial"/>
                <w:b w:val="0"/>
                <w:bCs w:val="0"/>
                <w:snapToGrid/>
                <w:color w:val="auto"/>
                <w:sz w:val="21"/>
                <w:szCs w:val="21"/>
              </w:rPr>
              <w:t>》</w:t>
            </w:r>
          </w:p>
        </w:tc>
      </w:tr>
      <w:tr w14:paraId="0C41D09E">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0" w:type="dxa"/>
            <w:bottom w:w="0" w:type="dxa"/>
            <w:right w:w="0" w:type="dxa"/>
          </w:tblCellMar>
        </w:tblPrEx>
        <w:trPr>
          <w:trHeight w:val="884" w:hRule="atLeast"/>
        </w:trPr>
        <w:tc>
          <w:tcPr>
            <w:tcW w:w="709" w:type="dxa"/>
            <w:shd w:val="clear" w:color="auto" w:fill="auto"/>
            <w:tcMar>
              <w:top w:w="72" w:type="dxa"/>
              <w:left w:w="144" w:type="dxa"/>
              <w:bottom w:w="72" w:type="dxa"/>
              <w:right w:w="144" w:type="dxa"/>
            </w:tcMar>
            <w:vAlign w:val="center"/>
          </w:tcPr>
          <w:p w14:paraId="083789C7">
            <w:pPr>
              <w:kinsoku/>
              <w:autoSpaceDE/>
              <w:autoSpaceDN/>
              <w:adjustRightInd/>
              <w:snapToGrid/>
              <w:spacing w:before="0" w:line="240" w:lineRule="auto"/>
              <w:textAlignment w:val="auto"/>
              <w:rPr>
                <w:rFonts w:ascii="宋体" w:hAnsi="宋体" w:eastAsia="宋体" w:cs="Arial"/>
                <w:b w:val="0"/>
                <w:bCs w:val="0"/>
                <w:snapToGrid/>
                <w:color w:val="000000" w:themeColor="text1"/>
                <w:kern w:val="24"/>
                <w:sz w:val="21"/>
                <w:szCs w:val="21"/>
                <w14:textFill>
                  <w14:solidFill>
                    <w14:schemeClr w14:val="tx1"/>
                  </w14:solidFill>
                </w14:textFill>
              </w:rPr>
            </w:pPr>
            <w:r>
              <w:rPr>
                <w:rFonts w:hint="eastAsia" w:ascii="宋体" w:hAnsi="宋体" w:eastAsia="宋体" w:cs="Arial"/>
                <w:b w:val="0"/>
                <w:bCs w:val="0"/>
                <w:snapToGrid/>
                <w:color w:val="000000" w:themeColor="text1"/>
                <w:kern w:val="24"/>
                <w:sz w:val="21"/>
                <w:szCs w:val="21"/>
                <w14:textFill>
                  <w14:solidFill>
                    <w14:schemeClr w14:val="tx1"/>
                  </w14:solidFill>
                </w14:textFill>
              </w:rPr>
              <w:t>11</w:t>
            </w:r>
          </w:p>
        </w:tc>
        <w:tc>
          <w:tcPr>
            <w:tcW w:w="3544" w:type="dxa"/>
            <w:shd w:val="clear" w:color="auto" w:fill="auto"/>
            <w:tcMar>
              <w:top w:w="72" w:type="dxa"/>
              <w:left w:w="144" w:type="dxa"/>
              <w:bottom w:w="72" w:type="dxa"/>
              <w:right w:w="144" w:type="dxa"/>
            </w:tcMar>
            <w:vAlign w:val="center"/>
          </w:tcPr>
          <w:p w14:paraId="1B67EC10">
            <w:pPr>
              <w:kinsoku/>
              <w:autoSpaceDE/>
              <w:autoSpaceDN/>
              <w:adjustRightInd/>
              <w:snapToGrid/>
              <w:spacing w:before="0" w:line="240" w:lineRule="auto"/>
              <w:textAlignment w:val="auto"/>
              <w:rPr>
                <w:rFonts w:ascii="宋体" w:hAnsi="宋体" w:eastAsia="宋体" w:cs="Arial"/>
                <w:b w:val="0"/>
                <w:bCs w:val="0"/>
                <w:snapToGrid/>
                <w:color w:val="000000" w:themeColor="text1"/>
                <w:kern w:val="24"/>
                <w:sz w:val="21"/>
                <w:szCs w:val="21"/>
                <w14:textFill>
                  <w14:solidFill>
                    <w14:schemeClr w14:val="tx1"/>
                  </w14:solidFill>
                </w14:textFill>
              </w:rPr>
            </w:pPr>
            <w:r>
              <w:rPr>
                <w:rFonts w:hint="eastAsia" w:ascii="宋体" w:hAnsi="宋体" w:eastAsia="宋体" w:cs="宋体"/>
                <w:b w:val="0"/>
                <w:bCs w:val="0"/>
                <w:snapToGrid/>
                <w:color w:val="000000" w:themeColor="text1"/>
                <w:kern w:val="24"/>
                <w:sz w:val="21"/>
                <w:szCs w:val="21"/>
                <w14:textFill>
                  <w14:solidFill>
                    <w14:schemeClr w14:val="tx1"/>
                  </w14:solidFill>
                </w14:textFill>
              </w:rPr>
              <w:t>GB 19079《体育场所开放条件与技术要求》</w:t>
            </w:r>
          </w:p>
        </w:tc>
        <w:tc>
          <w:tcPr>
            <w:tcW w:w="851" w:type="dxa"/>
            <w:shd w:val="clear" w:color="auto" w:fill="auto"/>
            <w:tcMar>
              <w:top w:w="72" w:type="dxa"/>
              <w:left w:w="144" w:type="dxa"/>
              <w:bottom w:w="72" w:type="dxa"/>
              <w:right w:w="144" w:type="dxa"/>
            </w:tcMar>
            <w:vAlign w:val="center"/>
          </w:tcPr>
          <w:p w14:paraId="15D02F72">
            <w:pPr>
              <w:kinsoku/>
              <w:autoSpaceDE/>
              <w:autoSpaceDN/>
              <w:adjustRightInd/>
              <w:snapToGrid/>
              <w:spacing w:before="0" w:line="240" w:lineRule="auto"/>
              <w:textAlignment w:val="auto"/>
              <w:rPr>
                <w:rFonts w:ascii="Arial" w:hAnsi="Arial" w:eastAsia="宋体" w:cs="Arial"/>
                <w:b w:val="0"/>
                <w:bCs w:val="0"/>
                <w:snapToGrid/>
                <w:color w:val="auto"/>
                <w:sz w:val="21"/>
                <w:szCs w:val="21"/>
              </w:rPr>
            </w:pPr>
            <w:r>
              <w:rPr>
                <w:rFonts w:hint="eastAsia" w:ascii="Arial" w:hAnsi="Arial" w:eastAsia="宋体" w:cs="Arial"/>
                <w:b w:val="0"/>
                <w:bCs w:val="0"/>
                <w:snapToGrid/>
                <w:color w:val="auto"/>
                <w:sz w:val="21"/>
                <w:szCs w:val="21"/>
              </w:rPr>
              <w:t>22</w:t>
            </w:r>
          </w:p>
        </w:tc>
        <w:tc>
          <w:tcPr>
            <w:tcW w:w="4110" w:type="dxa"/>
            <w:shd w:val="clear" w:color="auto" w:fill="auto"/>
            <w:tcMar>
              <w:top w:w="72" w:type="dxa"/>
              <w:left w:w="144" w:type="dxa"/>
              <w:bottom w:w="72" w:type="dxa"/>
              <w:right w:w="144" w:type="dxa"/>
            </w:tcMar>
            <w:vAlign w:val="center"/>
          </w:tcPr>
          <w:p w14:paraId="04C78F82">
            <w:pPr>
              <w:pStyle w:val="4"/>
              <w:spacing w:line="360" w:lineRule="exact"/>
              <w:ind w:right="214" w:rightChars="67"/>
              <w:jc w:val="both"/>
              <w:rPr>
                <w:rFonts w:ascii="Arial" w:hAnsi="Arial" w:cs="Arial"/>
                <w:b w:val="0"/>
                <w:bCs w:val="0"/>
                <w:snapToGrid/>
                <w:color w:val="auto"/>
                <w:sz w:val="21"/>
                <w:szCs w:val="21"/>
              </w:rPr>
            </w:pPr>
            <w:r>
              <w:rPr>
                <w:rFonts w:ascii="Arial" w:hAnsi="Arial" w:cs="Arial"/>
                <w:b w:val="0"/>
                <w:bCs w:val="0"/>
                <w:snapToGrid/>
                <w:color w:val="auto"/>
                <w:sz w:val="21"/>
                <w:szCs w:val="21"/>
              </w:rPr>
              <w:t>《国际篮联篮球场馆</w:t>
            </w:r>
            <w:r>
              <w:rPr>
                <w:rFonts w:hint="eastAsia" w:ascii="Arial" w:hAnsi="Arial" w:cs="Arial"/>
                <w:b w:val="0"/>
                <w:bCs w:val="0"/>
                <w:snapToGrid/>
                <w:color w:val="auto"/>
                <w:sz w:val="21"/>
                <w:szCs w:val="21"/>
              </w:rPr>
              <w:t xml:space="preserve"> </w:t>
            </w:r>
            <w:r>
              <w:rPr>
                <w:rFonts w:ascii="Arial" w:hAnsi="Arial" w:cs="Arial"/>
                <w:b w:val="0"/>
                <w:bCs w:val="0"/>
                <w:snapToGrid/>
                <w:color w:val="auto"/>
                <w:sz w:val="21"/>
                <w:szCs w:val="21"/>
              </w:rPr>
              <w:t>安全标准手册 》</w:t>
            </w:r>
          </w:p>
        </w:tc>
      </w:tr>
      <w:tr w14:paraId="41BF7EC2">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0" w:type="dxa"/>
            <w:bottom w:w="0" w:type="dxa"/>
            <w:right w:w="0" w:type="dxa"/>
          </w:tblCellMar>
        </w:tblPrEx>
        <w:trPr>
          <w:trHeight w:val="626" w:hRule="atLeast"/>
        </w:trPr>
        <w:tc>
          <w:tcPr>
            <w:tcW w:w="709" w:type="dxa"/>
            <w:shd w:val="clear" w:color="auto" w:fill="auto"/>
            <w:tcMar>
              <w:top w:w="72" w:type="dxa"/>
              <w:left w:w="144" w:type="dxa"/>
              <w:bottom w:w="72" w:type="dxa"/>
              <w:right w:w="144" w:type="dxa"/>
            </w:tcMar>
            <w:vAlign w:val="center"/>
          </w:tcPr>
          <w:p w14:paraId="6B838107">
            <w:pPr>
              <w:kinsoku/>
              <w:autoSpaceDE/>
              <w:autoSpaceDN/>
              <w:adjustRightInd/>
              <w:snapToGrid/>
              <w:spacing w:before="0" w:line="240" w:lineRule="auto"/>
              <w:textAlignment w:val="auto"/>
              <w:rPr>
                <w:rFonts w:ascii="宋体" w:hAnsi="宋体" w:eastAsia="宋体" w:cs="Arial"/>
                <w:b w:val="0"/>
                <w:bCs w:val="0"/>
                <w:snapToGrid/>
                <w:color w:val="000000" w:themeColor="text1"/>
                <w:kern w:val="24"/>
                <w:sz w:val="21"/>
                <w:szCs w:val="21"/>
                <w14:textFill>
                  <w14:solidFill>
                    <w14:schemeClr w14:val="tx1"/>
                  </w14:solidFill>
                </w14:textFill>
              </w:rPr>
            </w:pPr>
            <w:r>
              <w:rPr>
                <w:rFonts w:hint="eastAsia" w:ascii="宋体" w:hAnsi="宋体" w:eastAsia="宋体" w:cs="Arial"/>
                <w:b w:val="0"/>
                <w:bCs w:val="0"/>
                <w:snapToGrid/>
                <w:color w:val="000000" w:themeColor="text1"/>
                <w:kern w:val="24"/>
                <w:sz w:val="21"/>
                <w:szCs w:val="21"/>
                <w14:textFill>
                  <w14:solidFill>
                    <w14:schemeClr w14:val="tx1"/>
                  </w14:solidFill>
                </w14:textFill>
              </w:rPr>
              <w:t>12</w:t>
            </w:r>
          </w:p>
        </w:tc>
        <w:tc>
          <w:tcPr>
            <w:tcW w:w="3544" w:type="dxa"/>
            <w:shd w:val="clear" w:color="auto" w:fill="auto"/>
            <w:tcMar>
              <w:top w:w="72" w:type="dxa"/>
              <w:left w:w="144" w:type="dxa"/>
              <w:bottom w:w="72" w:type="dxa"/>
              <w:right w:w="144" w:type="dxa"/>
            </w:tcMar>
            <w:vAlign w:val="center"/>
          </w:tcPr>
          <w:p w14:paraId="7F72F65C">
            <w:pPr>
              <w:kinsoku/>
              <w:autoSpaceDE/>
              <w:autoSpaceDN/>
              <w:adjustRightInd/>
              <w:snapToGrid/>
              <w:spacing w:before="0" w:line="240" w:lineRule="auto"/>
              <w:textAlignment w:val="auto"/>
              <w:rPr>
                <w:rFonts w:ascii="宋体" w:hAnsi="宋体" w:eastAsia="宋体" w:cs="Arial"/>
                <w:b w:val="0"/>
                <w:bCs w:val="0"/>
                <w:snapToGrid/>
                <w:color w:val="000000" w:themeColor="text1"/>
                <w:kern w:val="24"/>
                <w:sz w:val="21"/>
                <w:szCs w:val="21"/>
                <w14:textFill>
                  <w14:solidFill>
                    <w14:schemeClr w14:val="tx1"/>
                  </w14:solidFill>
                </w14:textFill>
              </w:rPr>
            </w:pPr>
            <w:r>
              <w:rPr>
                <w:rFonts w:hint="eastAsia" w:ascii="宋体" w:hAnsi="宋体" w:eastAsia="宋体" w:cs="宋体"/>
                <w:b w:val="0"/>
                <w:bCs w:val="0"/>
                <w:snapToGrid/>
                <w:color w:val="000000" w:themeColor="text1"/>
                <w:kern w:val="24"/>
                <w:sz w:val="21"/>
                <w:szCs w:val="21"/>
                <w14:textFill>
                  <w14:solidFill>
                    <w14:schemeClr w14:val="tx1"/>
                  </w14:solidFill>
                </w14:textFill>
              </w:rPr>
              <w:t>GB 17945《消防应急照明和疏散指示系统》</w:t>
            </w:r>
          </w:p>
        </w:tc>
        <w:tc>
          <w:tcPr>
            <w:tcW w:w="851" w:type="dxa"/>
            <w:shd w:val="clear" w:color="auto" w:fill="auto"/>
            <w:tcMar>
              <w:top w:w="72" w:type="dxa"/>
              <w:left w:w="144" w:type="dxa"/>
              <w:bottom w:w="72" w:type="dxa"/>
              <w:right w:w="144" w:type="dxa"/>
            </w:tcMar>
            <w:vAlign w:val="center"/>
          </w:tcPr>
          <w:p w14:paraId="0E11B204">
            <w:pPr>
              <w:kinsoku/>
              <w:autoSpaceDE/>
              <w:autoSpaceDN/>
              <w:adjustRightInd/>
              <w:snapToGrid/>
              <w:spacing w:before="0" w:line="240" w:lineRule="auto"/>
              <w:textAlignment w:val="auto"/>
              <w:rPr>
                <w:rFonts w:ascii="Arial" w:hAnsi="Arial" w:eastAsia="宋体" w:cs="Arial"/>
                <w:b w:val="0"/>
                <w:bCs w:val="0"/>
                <w:snapToGrid/>
                <w:color w:val="auto"/>
                <w:sz w:val="21"/>
                <w:szCs w:val="21"/>
              </w:rPr>
            </w:pPr>
            <w:r>
              <w:rPr>
                <w:rFonts w:hint="eastAsia" w:ascii="Arial" w:hAnsi="Arial" w:eastAsia="宋体" w:cs="Arial"/>
                <w:b w:val="0"/>
                <w:bCs w:val="0"/>
                <w:snapToGrid/>
                <w:color w:val="auto"/>
                <w:sz w:val="21"/>
                <w:szCs w:val="21"/>
              </w:rPr>
              <w:t>23</w:t>
            </w:r>
          </w:p>
        </w:tc>
        <w:tc>
          <w:tcPr>
            <w:tcW w:w="4110" w:type="dxa"/>
            <w:shd w:val="clear" w:color="auto" w:fill="auto"/>
            <w:tcMar>
              <w:top w:w="72" w:type="dxa"/>
              <w:left w:w="144" w:type="dxa"/>
              <w:bottom w:w="72" w:type="dxa"/>
              <w:right w:w="144" w:type="dxa"/>
            </w:tcMar>
            <w:vAlign w:val="center"/>
          </w:tcPr>
          <w:p w14:paraId="1E68C4E8">
            <w:pPr>
              <w:kinsoku/>
              <w:autoSpaceDE/>
              <w:autoSpaceDN/>
              <w:adjustRightInd/>
              <w:snapToGrid/>
              <w:spacing w:before="0" w:line="240" w:lineRule="auto"/>
              <w:jc w:val="both"/>
              <w:textAlignment w:val="auto"/>
              <w:rPr>
                <w:rFonts w:ascii="Arial" w:hAnsi="Arial" w:eastAsia="宋体" w:cs="Arial"/>
                <w:b w:val="0"/>
                <w:bCs w:val="0"/>
                <w:snapToGrid/>
                <w:color w:val="auto"/>
                <w:sz w:val="21"/>
                <w:szCs w:val="21"/>
              </w:rPr>
            </w:pPr>
            <w:r>
              <w:rPr>
                <w:rFonts w:hint="eastAsia" w:ascii="Arial" w:hAnsi="Arial" w:eastAsia="宋体" w:cs="Arial"/>
                <w:b w:val="0"/>
                <w:bCs w:val="0"/>
                <w:snapToGrid/>
                <w:color w:val="auto"/>
                <w:sz w:val="21"/>
                <w:szCs w:val="21"/>
              </w:rPr>
              <w:t>T/CBA 001-2024，T/CSGF 027-2024《小篮球运动器材与场地》团体标准</w:t>
            </w:r>
          </w:p>
        </w:tc>
      </w:tr>
    </w:tbl>
    <w:p w14:paraId="0DFFC80E">
      <w:pPr>
        <w:pStyle w:val="3"/>
        <w:spacing w:before="0" w:line="520" w:lineRule="exact"/>
        <w:jc w:val="both"/>
        <w:rPr>
          <w:b w:val="0"/>
          <w:sz w:val="32"/>
          <w:szCs w:val="32"/>
          <w:lang w:eastAsia="zh-CN"/>
        </w:rPr>
      </w:pPr>
    </w:p>
    <w:p w14:paraId="73ABD641">
      <w:pPr>
        <w:ind w:firstLine="630" w:firstLineChars="196"/>
        <w:rPr>
          <w:rFonts w:ascii="宋体" w:hAnsi="宋体"/>
        </w:rPr>
      </w:pPr>
    </w:p>
    <w:p w14:paraId="717CA0FF">
      <w:pPr>
        <w:ind w:firstLine="630" w:firstLineChars="196"/>
        <w:rPr>
          <w:rFonts w:ascii="宋体" w:hAnsi="宋体"/>
        </w:rPr>
      </w:pPr>
    </w:p>
    <w:p w14:paraId="4B4C43FB">
      <w:pPr>
        <w:ind w:firstLine="630" w:firstLineChars="196"/>
        <w:rPr>
          <w:rFonts w:ascii="宋体" w:hAnsi="宋体"/>
        </w:rPr>
      </w:pPr>
    </w:p>
    <w:p w14:paraId="6BEBFEBB">
      <w:pPr>
        <w:jc w:val="both"/>
        <w:rPr>
          <w:rFonts w:ascii="黑体" w:hAnsi="黑体" w:eastAsia="黑体"/>
          <w:b w:val="0"/>
          <w:bCs w:val="0"/>
        </w:rPr>
      </w:pPr>
      <w:r>
        <w:rPr>
          <w:rFonts w:hint="eastAsia" w:ascii="黑体" w:hAnsi="黑体" w:eastAsia="黑体"/>
          <w:b w:val="0"/>
          <w:bCs w:val="0"/>
        </w:rPr>
        <w:t>附件3</w:t>
      </w:r>
    </w:p>
    <w:p w14:paraId="7791BCAF">
      <w:pPr>
        <w:rPr>
          <w:rFonts w:ascii="华文中宋" w:hAnsi="华文中宋" w:eastAsia="华文中宋" w:cs="华文中宋"/>
          <w:b w:val="0"/>
          <w:bCs w:val="0"/>
          <w:sz w:val="36"/>
          <w:szCs w:val="36"/>
        </w:rPr>
      </w:pPr>
      <w:r>
        <w:rPr>
          <w:rFonts w:hint="eastAsia" w:ascii="华文中宋" w:hAnsi="华文中宋" w:eastAsia="华文中宋" w:cs="华文中宋"/>
          <w:b w:val="0"/>
          <w:bCs w:val="0"/>
          <w:sz w:val="36"/>
          <w:szCs w:val="36"/>
        </w:rPr>
        <w:t>篮球赛事活动安全工作抽查情况表</w:t>
      </w:r>
    </w:p>
    <w:tbl>
      <w:tblPr>
        <w:tblStyle w:val="10"/>
        <w:tblpPr w:leftFromText="180" w:rightFromText="180" w:vertAnchor="text" w:horzAnchor="page" w:tblpX="1517" w:tblpY="338"/>
        <w:tblOverlap w:val="never"/>
        <w:tblW w:w="4997" w:type="pct"/>
        <w:tblInd w:w="0" w:type="dxa"/>
        <w:tblLayout w:type="fixed"/>
        <w:tblCellMar>
          <w:top w:w="0" w:type="dxa"/>
          <w:left w:w="108" w:type="dxa"/>
          <w:bottom w:w="0" w:type="dxa"/>
          <w:right w:w="108" w:type="dxa"/>
        </w:tblCellMar>
      </w:tblPr>
      <w:tblGrid>
        <w:gridCol w:w="429"/>
        <w:gridCol w:w="1394"/>
        <w:gridCol w:w="3841"/>
        <w:gridCol w:w="1163"/>
        <w:gridCol w:w="818"/>
        <w:gridCol w:w="1530"/>
      </w:tblGrid>
      <w:tr w14:paraId="46118617">
        <w:tblPrEx>
          <w:tblCellMar>
            <w:top w:w="0" w:type="dxa"/>
            <w:left w:w="108" w:type="dxa"/>
            <w:bottom w:w="0" w:type="dxa"/>
            <w:right w:w="108" w:type="dxa"/>
          </w:tblCellMar>
        </w:tblPrEx>
        <w:trPr>
          <w:trHeight w:val="820" w:hRule="atLeast"/>
        </w:trPr>
        <w:tc>
          <w:tcPr>
            <w:tcW w:w="23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4034FD">
            <w:pPr>
              <w:textAlignment w:val="center"/>
              <w:rPr>
                <w:rFonts w:ascii="Times New Roman Regular" w:hAnsi="Times New Roman Regular" w:cs="Times New Roman Regular"/>
                <w:b w:val="0"/>
                <w:bCs w:val="0"/>
                <w:sz w:val="18"/>
                <w:szCs w:val="18"/>
              </w:rPr>
            </w:pPr>
            <w:r>
              <w:rPr>
                <w:rFonts w:ascii="Times New Roman Regular" w:hAnsi="Times New Roman Regular" w:cs="Times New Roman Regular"/>
                <w:b w:val="0"/>
                <w:bCs w:val="0"/>
                <w:sz w:val="18"/>
                <w:szCs w:val="18"/>
                <w:lang w:bidi="ar"/>
              </w:rPr>
              <w:t>序号</w:t>
            </w:r>
          </w:p>
        </w:tc>
        <w:tc>
          <w:tcPr>
            <w:tcW w:w="7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6F5BD4">
            <w:pPr>
              <w:textAlignment w:val="center"/>
              <w:rPr>
                <w:rFonts w:ascii="Times New Roman Regular" w:hAnsi="Times New Roman Regular" w:cs="Times New Roman Regular"/>
                <w:b w:val="0"/>
                <w:bCs w:val="0"/>
                <w:sz w:val="18"/>
                <w:szCs w:val="18"/>
                <w:lang w:bidi="ar"/>
              </w:rPr>
            </w:pPr>
            <w:r>
              <w:rPr>
                <w:rFonts w:ascii="Times New Roman Regular" w:hAnsi="Times New Roman Regular" w:cs="Times New Roman Regular"/>
                <w:b w:val="0"/>
                <w:bCs w:val="0"/>
                <w:sz w:val="18"/>
                <w:szCs w:val="18"/>
                <w:lang w:bidi="ar"/>
              </w:rPr>
              <w:t>赛事活动</w:t>
            </w:r>
          </w:p>
          <w:p w14:paraId="6C87A9D1">
            <w:pPr>
              <w:textAlignment w:val="center"/>
              <w:rPr>
                <w:rFonts w:ascii="Times New Roman Regular" w:hAnsi="Times New Roman Regular" w:cs="Times New Roman Regular"/>
                <w:b w:val="0"/>
                <w:bCs w:val="0"/>
                <w:sz w:val="18"/>
                <w:szCs w:val="18"/>
              </w:rPr>
            </w:pPr>
            <w:r>
              <w:rPr>
                <w:rFonts w:ascii="Times New Roman Regular" w:hAnsi="Times New Roman Regular" w:cs="Times New Roman Regular"/>
                <w:b w:val="0"/>
                <w:bCs w:val="0"/>
                <w:sz w:val="18"/>
                <w:szCs w:val="18"/>
                <w:lang w:bidi="ar"/>
              </w:rPr>
              <w:t>名称</w:t>
            </w:r>
          </w:p>
        </w:tc>
        <w:tc>
          <w:tcPr>
            <w:tcW w:w="20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FC2EDC">
            <w:pPr>
              <w:jc w:val="left"/>
              <w:textAlignment w:val="center"/>
              <w:rPr>
                <w:rFonts w:ascii="Times New Roman Regular" w:hAnsi="Times New Roman Regular" w:cs="Times New Roman Regular"/>
                <w:b w:val="0"/>
                <w:bCs w:val="0"/>
                <w:color w:val="FF0000"/>
                <w:sz w:val="18"/>
                <w:szCs w:val="18"/>
              </w:rPr>
            </w:pPr>
            <w:r>
              <w:rPr>
                <w:rFonts w:ascii="Times New Roman Regular" w:hAnsi="Times New Roman Regular" w:cs="Times New Roman Regular"/>
                <w:b w:val="0"/>
                <w:bCs w:val="0"/>
                <w:color w:val="FF0000"/>
                <w:sz w:val="18"/>
                <w:szCs w:val="18"/>
                <w:lang w:bidi="ar"/>
              </w:rPr>
              <w:t xml:space="preserve"> </w:t>
            </w:r>
          </w:p>
        </w:tc>
        <w:tc>
          <w:tcPr>
            <w:tcW w:w="63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61E343">
            <w:pPr>
              <w:textAlignment w:val="center"/>
              <w:rPr>
                <w:rFonts w:ascii="Times New Roman Regular" w:hAnsi="Times New Roman Regular" w:cs="Times New Roman Regular"/>
                <w:b w:val="0"/>
                <w:bCs w:val="0"/>
                <w:sz w:val="18"/>
                <w:szCs w:val="18"/>
                <w:lang w:bidi="ar"/>
              </w:rPr>
            </w:pPr>
            <w:r>
              <w:rPr>
                <w:rFonts w:ascii="Times New Roman Regular" w:hAnsi="Times New Roman Regular" w:cs="Times New Roman Regular"/>
                <w:b w:val="0"/>
                <w:bCs w:val="0"/>
                <w:sz w:val="18"/>
                <w:szCs w:val="18"/>
                <w:lang w:bidi="ar"/>
              </w:rPr>
              <w:t xml:space="preserve"> 赛事活动</w:t>
            </w:r>
          </w:p>
          <w:p w14:paraId="3722D54D">
            <w:pPr>
              <w:textAlignment w:val="center"/>
              <w:rPr>
                <w:rFonts w:ascii="Times New Roman Regular" w:hAnsi="Times New Roman Regular" w:cs="Times New Roman Regular"/>
                <w:b w:val="0"/>
                <w:bCs w:val="0"/>
                <w:sz w:val="18"/>
                <w:szCs w:val="18"/>
              </w:rPr>
            </w:pPr>
            <w:r>
              <w:rPr>
                <w:rFonts w:ascii="Times New Roman Regular" w:hAnsi="Times New Roman Regular" w:cs="Times New Roman Regular"/>
                <w:b w:val="0"/>
                <w:bCs w:val="0"/>
                <w:sz w:val="18"/>
                <w:szCs w:val="18"/>
                <w:lang w:bidi="ar"/>
              </w:rPr>
              <w:t>简述</w:t>
            </w:r>
          </w:p>
        </w:tc>
        <w:tc>
          <w:tcPr>
            <w:tcW w:w="1279"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594632">
            <w:pPr>
              <w:jc w:val="left"/>
              <w:textAlignment w:val="center"/>
              <w:rPr>
                <w:rFonts w:ascii="Times New Roman Regular" w:hAnsi="Times New Roman Regular" w:cs="Times New Roman Regular"/>
                <w:b w:val="0"/>
                <w:bCs w:val="0"/>
                <w:sz w:val="18"/>
                <w:szCs w:val="18"/>
              </w:rPr>
            </w:pPr>
            <w:r>
              <w:rPr>
                <w:rFonts w:ascii="Times New Roman Regular" w:hAnsi="Times New Roman Regular" w:cs="Times New Roman Regular"/>
                <w:b w:val="0"/>
                <w:bCs w:val="0"/>
                <w:sz w:val="18"/>
                <w:szCs w:val="18"/>
                <w:lang w:bidi="ar"/>
              </w:rPr>
              <w:t>包括但不限于：赛事活动简介。参加人数。是否为传统项目？如果是第一次，今后会不会继续举办？</w:t>
            </w:r>
          </w:p>
        </w:tc>
      </w:tr>
      <w:tr w14:paraId="54CA9F0C">
        <w:tblPrEx>
          <w:tblCellMar>
            <w:top w:w="0" w:type="dxa"/>
            <w:left w:w="108" w:type="dxa"/>
            <w:bottom w:w="0" w:type="dxa"/>
            <w:right w:w="108" w:type="dxa"/>
          </w:tblCellMar>
        </w:tblPrEx>
        <w:trPr>
          <w:trHeight w:val="820" w:hRule="atLeast"/>
        </w:trPr>
        <w:tc>
          <w:tcPr>
            <w:tcW w:w="23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F248B7">
            <w:pPr>
              <w:rPr>
                <w:rFonts w:ascii="Times New Roman Regular" w:hAnsi="Times New Roman Regular" w:cs="Times New Roman Regular"/>
                <w:b w:val="0"/>
                <w:bCs w:val="0"/>
                <w:sz w:val="18"/>
                <w:szCs w:val="18"/>
              </w:rPr>
            </w:pPr>
          </w:p>
        </w:tc>
        <w:tc>
          <w:tcPr>
            <w:tcW w:w="7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328780">
            <w:pPr>
              <w:textAlignment w:val="center"/>
              <w:rPr>
                <w:rFonts w:ascii="Times New Roman Regular" w:hAnsi="Times New Roman Regular" w:cs="Times New Roman Regular"/>
                <w:b w:val="0"/>
                <w:bCs w:val="0"/>
                <w:sz w:val="18"/>
                <w:szCs w:val="18"/>
              </w:rPr>
            </w:pPr>
            <w:r>
              <w:rPr>
                <w:rFonts w:ascii="Times New Roman Regular" w:hAnsi="Times New Roman Regular" w:cs="Times New Roman Regular"/>
                <w:b w:val="0"/>
                <w:bCs w:val="0"/>
                <w:sz w:val="18"/>
                <w:szCs w:val="18"/>
                <w:lang w:bidi="ar"/>
              </w:rPr>
              <w:t>主办单位</w:t>
            </w:r>
          </w:p>
        </w:tc>
        <w:tc>
          <w:tcPr>
            <w:tcW w:w="20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802F22">
            <w:pPr>
              <w:rPr>
                <w:rFonts w:ascii="Times New Roman Regular" w:hAnsi="Times New Roman Regular" w:cs="Times New Roman Regular"/>
                <w:b w:val="0"/>
                <w:bCs w:val="0"/>
                <w:sz w:val="18"/>
                <w:szCs w:val="18"/>
              </w:rPr>
            </w:pPr>
          </w:p>
        </w:tc>
        <w:tc>
          <w:tcPr>
            <w:tcW w:w="63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297463">
            <w:pPr>
              <w:rPr>
                <w:rFonts w:ascii="Times New Roman Regular" w:hAnsi="Times New Roman Regular" w:cs="Times New Roman Regular"/>
                <w:b w:val="0"/>
                <w:bCs w:val="0"/>
                <w:sz w:val="18"/>
                <w:szCs w:val="18"/>
              </w:rPr>
            </w:pPr>
          </w:p>
        </w:tc>
        <w:tc>
          <w:tcPr>
            <w:tcW w:w="127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62A6DA">
            <w:pPr>
              <w:jc w:val="left"/>
              <w:rPr>
                <w:rFonts w:ascii="Times New Roman Regular" w:hAnsi="Times New Roman Regular" w:cs="Times New Roman Regular"/>
                <w:b w:val="0"/>
                <w:bCs w:val="0"/>
                <w:sz w:val="18"/>
                <w:szCs w:val="18"/>
              </w:rPr>
            </w:pPr>
          </w:p>
        </w:tc>
      </w:tr>
      <w:tr w14:paraId="465C61FB">
        <w:tblPrEx>
          <w:tblCellMar>
            <w:top w:w="0" w:type="dxa"/>
            <w:left w:w="108" w:type="dxa"/>
            <w:bottom w:w="0" w:type="dxa"/>
            <w:right w:w="108" w:type="dxa"/>
          </w:tblCellMar>
        </w:tblPrEx>
        <w:trPr>
          <w:trHeight w:val="820" w:hRule="atLeast"/>
        </w:trPr>
        <w:tc>
          <w:tcPr>
            <w:tcW w:w="23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B95FBB">
            <w:pPr>
              <w:rPr>
                <w:rFonts w:ascii="Times New Roman Regular" w:hAnsi="Times New Roman Regular" w:cs="Times New Roman Regular"/>
                <w:b w:val="0"/>
                <w:bCs w:val="0"/>
                <w:sz w:val="18"/>
                <w:szCs w:val="18"/>
              </w:rPr>
            </w:pPr>
          </w:p>
        </w:tc>
        <w:tc>
          <w:tcPr>
            <w:tcW w:w="7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DD3D4F">
            <w:pPr>
              <w:textAlignment w:val="center"/>
              <w:rPr>
                <w:rFonts w:ascii="Times New Roman Regular" w:hAnsi="Times New Roman Regular" w:cs="Times New Roman Regular"/>
                <w:b w:val="0"/>
                <w:bCs w:val="0"/>
                <w:sz w:val="18"/>
                <w:szCs w:val="18"/>
                <w:lang w:bidi="ar"/>
              </w:rPr>
            </w:pPr>
            <w:r>
              <w:rPr>
                <w:rFonts w:ascii="Times New Roman Regular" w:hAnsi="Times New Roman Regular" w:cs="Times New Roman Regular"/>
                <w:b w:val="0"/>
                <w:bCs w:val="0"/>
                <w:sz w:val="18"/>
                <w:szCs w:val="18"/>
                <w:lang w:bidi="ar"/>
              </w:rPr>
              <w:t xml:space="preserve">承办单位 </w:t>
            </w:r>
          </w:p>
          <w:p w14:paraId="53047D17">
            <w:pPr>
              <w:textAlignment w:val="center"/>
              <w:rPr>
                <w:rFonts w:ascii="Times New Roman Regular" w:hAnsi="Times New Roman Regular" w:cs="Times New Roman Regular"/>
                <w:b w:val="0"/>
                <w:bCs w:val="0"/>
                <w:sz w:val="18"/>
                <w:szCs w:val="18"/>
              </w:rPr>
            </w:pPr>
            <w:r>
              <w:rPr>
                <w:rFonts w:ascii="Times New Roman Regular" w:hAnsi="Times New Roman Regular" w:cs="Times New Roman Regular"/>
                <w:b w:val="0"/>
                <w:bCs w:val="0"/>
                <w:sz w:val="18"/>
                <w:szCs w:val="18"/>
                <w:lang w:bidi="ar"/>
              </w:rPr>
              <w:t xml:space="preserve"> 协办单位</w:t>
            </w:r>
          </w:p>
        </w:tc>
        <w:tc>
          <w:tcPr>
            <w:tcW w:w="20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0B2C69">
            <w:pPr>
              <w:jc w:val="left"/>
              <w:textAlignment w:val="center"/>
              <w:rPr>
                <w:rFonts w:ascii="Times New Roman Regular" w:hAnsi="Times New Roman Regular" w:cs="Times New Roman Regular"/>
                <w:b w:val="0"/>
                <w:bCs w:val="0"/>
                <w:sz w:val="18"/>
                <w:szCs w:val="18"/>
              </w:rPr>
            </w:pPr>
            <w:r>
              <w:rPr>
                <w:rFonts w:ascii="Times New Roman Regular" w:hAnsi="Times New Roman Regular" w:cs="Times New Roman Regular"/>
                <w:b w:val="0"/>
                <w:bCs w:val="0"/>
                <w:sz w:val="18"/>
                <w:szCs w:val="18"/>
                <w:lang w:bidi="ar"/>
              </w:rPr>
              <w:t xml:space="preserve"> </w:t>
            </w:r>
          </w:p>
        </w:tc>
        <w:tc>
          <w:tcPr>
            <w:tcW w:w="63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5FC65D">
            <w:pPr>
              <w:textAlignment w:val="center"/>
              <w:rPr>
                <w:rFonts w:ascii="Times New Roman Regular" w:hAnsi="Times New Roman Regular" w:cs="Times New Roman Regular"/>
                <w:b w:val="0"/>
                <w:bCs w:val="0"/>
                <w:sz w:val="18"/>
                <w:szCs w:val="18"/>
              </w:rPr>
            </w:pPr>
            <w:r>
              <w:rPr>
                <w:rFonts w:ascii="Times New Roman Regular" w:hAnsi="Times New Roman Regular" w:cs="Times New Roman Regular"/>
                <w:b w:val="0"/>
                <w:bCs w:val="0"/>
                <w:sz w:val="18"/>
                <w:szCs w:val="18"/>
                <w:lang w:bidi="ar"/>
              </w:rPr>
              <w:t>绩效情况</w:t>
            </w:r>
          </w:p>
        </w:tc>
        <w:tc>
          <w:tcPr>
            <w:tcW w:w="1279"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90EC95">
            <w:pPr>
              <w:jc w:val="left"/>
              <w:textAlignment w:val="center"/>
              <w:rPr>
                <w:rFonts w:ascii="Times New Roman Regular" w:hAnsi="Times New Roman Regular" w:cs="Times New Roman Regular"/>
                <w:b w:val="0"/>
                <w:bCs w:val="0"/>
                <w:sz w:val="18"/>
                <w:szCs w:val="18"/>
              </w:rPr>
            </w:pPr>
            <w:r>
              <w:rPr>
                <w:rFonts w:ascii="Times New Roman Regular" w:hAnsi="Times New Roman Regular" w:cs="Times New Roman Regular"/>
                <w:b w:val="0"/>
                <w:bCs w:val="0"/>
                <w:sz w:val="18"/>
                <w:szCs w:val="18"/>
                <w:lang w:bidi="ar"/>
              </w:rPr>
              <w:t>依据购买服务合同或活动申报材料对应条款或条目，介绍绩效完成情况，或赛事总结</w:t>
            </w:r>
            <w:r>
              <w:rPr>
                <w:rFonts w:hint="eastAsia" w:ascii="Times New Roman Regular" w:hAnsi="Times New Roman Regular" w:cs="Times New Roman Regular"/>
                <w:b w:val="0"/>
                <w:bCs w:val="0"/>
                <w:sz w:val="18"/>
                <w:szCs w:val="18"/>
                <w:lang w:bidi="ar"/>
              </w:rPr>
              <w:t>中评估</w:t>
            </w:r>
            <w:r>
              <w:rPr>
                <w:rFonts w:ascii="Times New Roman Regular" w:hAnsi="Times New Roman Regular" w:cs="Times New Roman Regular"/>
                <w:b w:val="0"/>
                <w:bCs w:val="0"/>
                <w:sz w:val="18"/>
                <w:szCs w:val="18"/>
                <w:lang w:bidi="ar"/>
              </w:rPr>
              <w:t>等。</w:t>
            </w:r>
          </w:p>
        </w:tc>
      </w:tr>
      <w:tr w14:paraId="31C5FEA5">
        <w:tblPrEx>
          <w:tblCellMar>
            <w:top w:w="0" w:type="dxa"/>
            <w:left w:w="108" w:type="dxa"/>
            <w:bottom w:w="0" w:type="dxa"/>
            <w:right w:w="108" w:type="dxa"/>
          </w:tblCellMar>
        </w:tblPrEx>
        <w:trPr>
          <w:trHeight w:val="660" w:hRule="atLeast"/>
        </w:trPr>
        <w:tc>
          <w:tcPr>
            <w:tcW w:w="23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E76899">
            <w:pPr>
              <w:rPr>
                <w:rFonts w:ascii="Times New Roman Regular" w:hAnsi="Times New Roman Regular" w:cs="Times New Roman Regular"/>
                <w:b w:val="0"/>
                <w:bCs w:val="0"/>
                <w:sz w:val="18"/>
                <w:szCs w:val="18"/>
              </w:rPr>
            </w:pPr>
          </w:p>
        </w:tc>
        <w:tc>
          <w:tcPr>
            <w:tcW w:w="7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41EFB9">
            <w:pPr>
              <w:textAlignment w:val="center"/>
              <w:rPr>
                <w:rFonts w:ascii="Times New Roman Regular" w:hAnsi="Times New Roman Regular" w:cs="Times New Roman Regular"/>
                <w:b w:val="0"/>
                <w:bCs w:val="0"/>
                <w:sz w:val="18"/>
                <w:szCs w:val="18"/>
              </w:rPr>
            </w:pPr>
            <w:r>
              <w:rPr>
                <w:rFonts w:ascii="Times New Roman Regular" w:hAnsi="Times New Roman Regular" w:cs="Times New Roman Regular"/>
                <w:b w:val="0"/>
                <w:bCs w:val="0"/>
                <w:sz w:val="18"/>
                <w:szCs w:val="18"/>
                <w:lang w:bidi="ar"/>
              </w:rPr>
              <w:t>合作方式</w:t>
            </w:r>
          </w:p>
        </w:tc>
        <w:tc>
          <w:tcPr>
            <w:tcW w:w="20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80CC78">
            <w:pPr>
              <w:jc w:val="left"/>
              <w:textAlignment w:val="center"/>
              <w:rPr>
                <w:rFonts w:ascii="Times New Roman Regular" w:hAnsi="Times New Roman Regular" w:cs="Times New Roman Regular"/>
                <w:b w:val="0"/>
                <w:bCs w:val="0"/>
                <w:sz w:val="18"/>
                <w:szCs w:val="18"/>
                <w:lang w:bidi="ar"/>
              </w:rPr>
            </w:pPr>
            <w:r>
              <w:rPr>
                <w:rFonts w:ascii="Times New Roman Regular" w:hAnsi="Times New Roman Regular" w:cs="Times New Roman Regular"/>
                <w:b w:val="0"/>
                <w:bCs w:val="0"/>
                <w:sz w:val="18"/>
                <w:szCs w:val="18"/>
                <w:lang w:bidi="ar"/>
              </w:rPr>
              <w:t xml:space="preserve">请勾选：主自办赛( </w:t>
            </w:r>
            <w:r>
              <w:rPr>
                <w:rFonts w:hint="eastAsia" w:ascii="Times New Roman Regular" w:hAnsi="Times New Roman Regular" w:cs="Times New Roman Regular"/>
                <w:b w:val="0"/>
                <w:bCs w:val="0"/>
                <w:sz w:val="18"/>
                <w:szCs w:val="18"/>
                <w:lang w:bidi="ar"/>
              </w:rPr>
              <w:t xml:space="preserve"> </w:t>
            </w:r>
            <w:r>
              <w:rPr>
                <w:rFonts w:ascii="Times New Roman Regular" w:hAnsi="Times New Roman Regular" w:cs="Times New Roman Regular"/>
                <w:b w:val="0"/>
                <w:bCs w:val="0"/>
                <w:sz w:val="18"/>
                <w:szCs w:val="18"/>
                <w:lang w:bidi="ar"/>
              </w:rPr>
              <w:t>)、购买服务（ )、</w:t>
            </w:r>
          </w:p>
          <w:p w14:paraId="184AB1E6">
            <w:pPr>
              <w:ind w:firstLine="720" w:firstLineChars="400"/>
              <w:jc w:val="left"/>
              <w:textAlignment w:val="center"/>
              <w:rPr>
                <w:rFonts w:ascii="Times New Roman Regular" w:hAnsi="Times New Roman Regular" w:cs="Times New Roman Regular"/>
                <w:b w:val="0"/>
                <w:bCs w:val="0"/>
                <w:sz w:val="18"/>
                <w:szCs w:val="18"/>
              </w:rPr>
            </w:pPr>
            <w:r>
              <w:rPr>
                <w:rFonts w:ascii="Times New Roman Regular" w:hAnsi="Times New Roman Regular" w:cs="Times New Roman Regular"/>
                <w:b w:val="0"/>
                <w:bCs w:val="0"/>
                <w:sz w:val="18"/>
                <w:szCs w:val="18"/>
                <w:lang w:bidi="ar"/>
              </w:rPr>
              <w:t>授权办赛（ ）</w:t>
            </w:r>
            <w:r>
              <w:rPr>
                <w:rFonts w:hint="eastAsia" w:ascii="Times New Roman Regular" w:hAnsi="Times New Roman Regular" w:cs="Times New Roman Regular"/>
                <w:b w:val="0"/>
                <w:bCs w:val="0"/>
                <w:sz w:val="18"/>
                <w:szCs w:val="18"/>
                <w:lang w:bidi="ar"/>
              </w:rPr>
              <w:t>、</w:t>
            </w:r>
            <w:r>
              <w:rPr>
                <w:rFonts w:ascii="Times New Roman Regular" w:hAnsi="Times New Roman Regular" w:cs="Times New Roman Regular"/>
                <w:b w:val="0"/>
                <w:bCs w:val="0"/>
                <w:sz w:val="18"/>
                <w:szCs w:val="18"/>
                <w:lang w:bidi="ar"/>
              </w:rPr>
              <w:t>其他（</w:t>
            </w:r>
            <w:r>
              <w:rPr>
                <w:rFonts w:hint="eastAsia" w:ascii="Times New Roman Regular" w:hAnsi="Times New Roman Regular" w:cs="Times New Roman Regular"/>
                <w:b w:val="0"/>
                <w:bCs w:val="0"/>
                <w:sz w:val="18"/>
                <w:szCs w:val="18"/>
                <w:lang w:bidi="ar"/>
              </w:rPr>
              <w:t xml:space="preserve">  </w:t>
            </w:r>
            <w:r>
              <w:rPr>
                <w:rFonts w:ascii="Times New Roman Regular" w:hAnsi="Times New Roman Regular" w:cs="Times New Roman Regular"/>
                <w:b w:val="0"/>
                <w:bCs w:val="0"/>
                <w:sz w:val="18"/>
                <w:szCs w:val="18"/>
                <w:lang w:bidi="ar"/>
              </w:rPr>
              <w:t xml:space="preserve">）  </w:t>
            </w:r>
          </w:p>
        </w:tc>
        <w:tc>
          <w:tcPr>
            <w:tcW w:w="63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A1E007">
            <w:pPr>
              <w:rPr>
                <w:rFonts w:ascii="Times New Roman Regular" w:hAnsi="Times New Roman Regular" w:cs="Times New Roman Regular"/>
                <w:b w:val="0"/>
                <w:bCs w:val="0"/>
                <w:sz w:val="18"/>
                <w:szCs w:val="18"/>
              </w:rPr>
            </w:pPr>
          </w:p>
        </w:tc>
        <w:tc>
          <w:tcPr>
            <w:tcW w:w="127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608A19">
            <w:pPr>
              <w:jc w:val="left"/>
              <w:rPr>
                <w:rFonts w:ascii="Times New Roman Regular" w:hAnsi="Times New Roman Regular" w:cs="Times New Roman Regular"/>
                <w:b w:val="0"/>
                <w:bCs w:val="0"/>
                <w:sz w:val="18"/>
                <w:szCs w:val="18"/>
              </w:rPr>
            </w:pPr>
          </w:p>
        </w:tc>
      </w:tr>
      <w:tr w14:paraId="5A46E98C">
        <w:tblPrEx>
          <w:tblCellMar>
            <w:top w:w="0" w:type="dxa"/>
            <w:left w:w="108" w:type="dxa"/>
            <w:bottom w:w="0" w:type="dxa"/>
            <w:right w:w="108" w:type="dxa"/>
          </w:tblCellMar>
        </w:tblPrEx>
        <w:trPr>
          <w:trHeight w:val="660" w:hRule="atLeast"/>
        </w:trPr>
        <w:tc>
          <w:tcPr>
            <w:tcW w:w="23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820ACB">
            <w:pPr>
              <w:rPr>
                <w:rFonts w:ascii="Times New Roman Regular" w:hAnsi="Times New Roman Regular" w:cs="Times New Roman Regular"/>
                <w:b w:val="0"/>
                <w:bCs w:val="0"/>
                <w:sz w:val="18"/>
                <w:szCs w:val="18"/>
              </w:rPr>
            </w:pPr>
          </w:p>
        </w:tc>
        <w:tc>
          <w:tcPr>
            <w:tcW w:w="285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3319B1">
            <w:pPr>
              <w:textAlignment w:val="center"/>
              <w:rPr>
                <w:rFonts w:ascii="Times New Roman Regular" w:hAnsi="Times New Roman Regular" w:cs="Times New Roman Regular"/>
                <w:b w:val="0"/>
                <w:bCs w:val="0"/>
                <w:sz w:val="18"/>
                <w:szCs w:val="18"/>
              </w:rPr>
            </w:pPr>
            <w:r>
              <w:rPr>
                <w:rFonts w:ascii="Times New Roman Regular" w:hAnsi="Times New Roman Regular" w:cs="Times New Roman Regular"/>
                <w:b w:val="0"/>
                <w:bCs w:val="0"/>
                <w:sz w:val="18"/>
                <w:szCs w:val="18"/>
                <w:lang w:bidi="ar"/>
              </w:rPr>
              <w:t>抽查项目</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458C21">
            <w:pPr>
              <w:textAlignment w:val="center"/>
              <w:rPr>
                <w:rFonts w:ascii="Times New Roman Regular" w:hAnsi="Times New Roman Regular" w:cs="Times New Roman Regular"/>
                <w:b w:val="0"/>
                <w:bCs w:val="0"/>
                <w:sz w:val="18"/>
                <w:szCs w:val="18"/>
                <w:lang w:bidi="ar"/>
              </w:rPr>
            </w:pPr>
            <w:r>
              <w:rPr>
                <w:rFonts w:ascii="Times New Roman Regular" w:hAnsi="Times New Roman Regular" w:cs="Times New Roman Regular"/>
                <w:b w:val="0"/>
                <w:bCs w:val="0"/>
                <w:sz w:val="18"/>
                <w:szCs w:val="18"/>
                <w:lang w:bidi="ar"/>
              </w:rPr>
              <w:t>是/否/</w:t>
            </w:r>
          </w:p>
          <w:p w14:paraId="248461FC">
            <w:pPr>
              <w:textAlignment w:val="center"/>
              <w:rPr>
                <w:rFonts w:ascii="Times New Roman Regular" w:hAnsi="Times New Roman Regular" w:cs="Times New Roman Regular"/>
                <w:b w:val="0"/>
                <w:bCs w:val="0"/>
                <w:sz w:val="18"/>
                <w:szCs w:val="18"/>
              </w:rPr>
            </w:pPr>
            <w:r>
              <w:rPr>
                <w:rFonts w:ascii="Times New Roman Regular" w:hAnsi="Times New Roman Regular" w:cs="Times New Roman Regular"/>
                <w:b w:val="0"/>
                <w:bCs w:val="0"/>
                <w:sz w:val="18"/>
                <w:szCs w:val="18"/>
                <w:lang w:bidi="ar"/>
              </w:rPr>
              <w:t>不涉及</w:t>
            </w:r>
          </w:p>
        </w:tc>
        <w:tc>
          <w:tcPr>
            <w:tcW w:w="446" w:type="pct"/>
            <w:tcBorders>
              <w:top w:val="nil"/>
              <w:left w:val="single" w:color="000000" w:sz="4" w:space="0"/>
              <w:bottom w:val="single" w:color="000000" w:sz="4" w:space="0"/>
              <w:right w:val="single" w:color="000000" w:sz="4" w:space="0"/>
            </w:tcBorders>
            <w:shd w:val="clear" w:color="auto" w:fill="auto"/>
            <w:vAlign w:val="center"/>
          </w:tcPr>
          <w:p w14:paraId="5FC9AC5C">
            <w:pPr>
              <w:textAlignment w:val="center"/>
              <w:rPr>
                <w:rFonts w:ascii="Times New Roman Regular" w:hAnsi="Times New Roman Regular" w:cs="Times New Roman Regular"/>
                <w:b w:val="0"/>
                <w:bCs w:val="0"/>
                <w:sz w:val="18"/>
                <w:szCs w:val="18"/>
              </w:rPr>
            </w:pPr>
            <w:r>
              <w:rPr>
                <w:rFonts w:ascii="Times New Roman Regular" w:hAnsi="Times New Roman Regular" w:cs="Times New Roman Regular"/>
                <w:b w:val="0"/>
                <w:bCs w:val="0"/>
                <w:sz w:val="18"/>
                <w:szCs w:val="18"/>
                <w:lang w:bidi="ar"/>
              </w:rPr>
              <w:t>具体问题描述</w:t>
            </w:r>
          </w:p>
        </w:tc>
        <w:tc>
          <w:tcPr>
            <w:tcW w:w="833" w:type="pct"/>
            <w:tcBorders>
              <w:top w:val="nil"/>
              <w:left w:val="single" w:color="000000" w:sz="4" w:space="0"/>
              <w:bottom w:val="single" w:color="000000" w:sz="4" w:space="0"/>
              <w:right w:val="single" w:color="000000" w:sz="4" w:space="0"/>
            </w:tcBorders>
            <w:shd w:val="clear" w:color="auto" w:fill="auto"/>
            <w:vAlign w:val="center"/>
          </w:tcPr>
          <w:p w14:paraId="012E331A">
            <w:pPr>
              <w:textAlignment w:val="center"/>
              <w:rPr>
                <w:rFonts w:ascii="Times New Roman Regular" w:hAnsi="Times New Roman Regular" w:cs="Times New Roman Regular"/>
                <w:b w:val="0"/>
                <w:bCs w:val="0"/>
                <w:sz w:val="18"/>
                <w:szCs w:val="18"/>
              </w:rPr>
            </w:pPr>
            <w:r>
              <w:rPr>
                <w:rFonts w:ascii="Times New Roman Regular" w:hAnsi="Times New Roman Regular" w:cs="Times New Roman Regular"/>
                <w:b w:val="0"/>
                <w:bCs w:val="0"/>
                <w:sz w:val="18"/>
                <w:szCs w:val="18"/>
                <w:lang w:bidi="ar"/>
              </w:rPr>
              <w:t>备注</w:t>
            </w:r>
          </w:p>
        </w:tc>
      </w:tr>
      <w:tr w14:paraId="0B21EEFC">
        <w:tblPrEx>
          <w:tblCellMar>
            <w:top w:w="0" w:type="dxa"/>
            <w:left w:w="108" w:type="dxa"/>
            <w:bottom w:w="0" w:type="dxa"/>
            <w:right w:w="108" w:type="dxa"/>
          </w:tblCellMar>
        </w:tblPrEx>
        <w:trPr>
          <w:trHeight w:val="740" w:hRule="atLeast"/>
        </w:trPr>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B468D7">
            <w:pPr>
              <w:textAlignment w:val="center"/>
              <w:rPr>
                <w:rFonts w:ascii="Times New Roman Regular" w:hAnsi="Times New Roman Regular" w:cs="Times New Roman Regular"/>
                <w:b w:val="0"/>
                <w:bCs w:val="0"/>
                <w:sz w:val="18"/>
                <w:szCs w:val="18"/>
              </w:rPr>
            </w:pPr>
            <w:r>
              <w:rPr>
                <w:rFonts w:ascii="Times New Roman Regular" w:hAnsi="Times New Roman Regular" w:cs="Times New Roman Regular"/>
                <w:b w:val="0"/>
                <w:bCs w:val="0"/>
                <w:sz w:val="18"/>
                <w:szCs w:val="18"/>
                <w:lang w:bidi="ar"/>
              </w:rPr>
              <w:t>1</w:t>
            </w:r>
          </w:p>
        </w:tc>
        <w:tc>
          <w:tcPr>
            <w:tcW w:w="759" w:type="pct"/>
            <w:vMerge w:val="restart"/>
            <w:tcBorders>
              <w:top w:val="nil"/>
              <w:left w:val="nil"/>
              <w:bottom w:val="nil"/>
              <w:right w:val="nil"/>
            </w:tcBorders>
            <w:shd w:val="clear" w:color="auto" w:fill="auto"/>
            <w:noWrap/>
            <w:vAlign w:val="center"/>
          </w:tcPr>
          <w:p w14:paraId="48DCA947">
            <w:pPr>
              <w:textAlignment w:val="center"/>
              <w:rPr>
                <w:rFonts w:ascii="Times New Roman Regular" w:hAnsi="Times New Roman Regular" w:cs="Times New Roman Regular"/>
                <w:b w:val="0"/>
                <w:bCs w:val="0"/>
                <w:sz w:val="18"/>
                <w:szCs w:val="18"/>
              </w:rPr>
            </w:pPr>
            <w:r>
              <w:rPr>
                <w:rFonts w:ascii="Times New Roman Regular" w:hAnsi="Times New Roman Regular" w:cs="Times New Roman Regular"/>
                <w:b w:val="0"/>
                <w:bCs w:val="0"/>
                <w:sz w:val="18"/>
                <w:szCs w:val="18"/>
                <w:lang w:bidi="ar"/>
              </w:rPr>
              <w:t>赛事审批</w:t>
            </w:r>
          </w:p>
        </w:tc>
        <w:tc>
          <w:tcPr>
            <w:tcW w:w="2092" w:type="pct"/>
            <w:tcBorders>
              <w:top w:val="single" w:color="000000" w:sz="4" w:space="0"/>
              <w:left w:val="single" w:color="000000" w:sz="4" w:space="0"/>
              <w:bottom w:val="single" w:color="000000" w:sz="4" w:space="0"/>
              <w:right w:val="nil"/>
            </w:tcBorders>
            <w:shd w:val="clear" w:color="auto" w:fill="auto"/>
            <w:vAlign w:val="center"/>
          </w:tcPr>
          <w:p w14:paraId="30C75BEA">
            <w:pPr>
              <w:jc w:val="left"/>
              <w:textAlignment w:val="center"/>
              <w:rPr>
                <w:rFonts w:ascii="Times New Roman Regular" w:hAnsi="Times New Roman Regular" w:cs="Times New Roman Regular"/>
                <w:b w:val="0"/>
                <w:bCs w:val="0"/>
                <w:sz w:val="18"/>
                <w:szCs w:val="18"/>
              </w:rPr>
            </w:pPr>
            <w:r>
              <w:rPr>
                <w:rFonts w:ascii="Times New Roman Regular" w:hAnsi="Times New Roman Regular" w:cs="Times New Roman Regular"/>
                <w:b w:val="0"/>
                <w:bCs w:val="0"/>
                <w:sz w:val="18"/>
                <w:szCs w:val="18"/>
                <w:lang w:bidi="ar"/>
              </w:rPr>
              <w:t>经报批在华举办的国际篮球赛事活动</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F40EDB">
            <w:pPr>
              <w:rPr>
                <w:rFonts w:ascii="Times New Roman Regular" w:hAnsi="Times New Roman Regular" w:cs="Times New Roman Regular"/>
                <w:b w:val="0"/>
                <w:bCs w:val="0"/>
                <w:sz w:val="18"/>
                <w:szCs w:val="18"/>
              </w:rPr>
            </w:pPr>
          </w:p>
        </w:tc>
        <w:tc>
          <w:tcPr>
            <w:tcW w:w="4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2D379E">
            <w:pPr>
              <w:rPr>
                <w:rFonts w:ascii="Times New Roman Regular" w:hAnsi="Times New Roman Regular" w:cs="Times New Roman Regular"/>
                <w:b w:val="0"/>
                <w:bCs w:val="0"/>
                <w:sz w:val="18"/>
                <w:szCs w:val="18"/>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097726">
            <w:pPr>
              <w:jc w:val="left"/>
              <w:textAlignment w:val="center"/>
              <w:rPr>
                <w:rFonts w:ascii="Times New Roman Regular" w:hAnsi="Times New Roman Regular" w:cs="Times New Roman Regular"/>
                <w:b w:val="0"/>
                <w:bCs w:val="0"/>
                <w:sz w:val="18"/>
                <w:szCs w:val="18"/>
              </w:rPr>
            </w:pPr>
            <w:r>
              <w:rPr>
                <w:rFonts w:ascii="Times New Roman Regular" w:hAnsi="Times New Roman Regular" w:cs="Times New Roman Regular"/>
                <w:b w:val="0"/>
                <w:bCs w:val="0"/>
                <w:sz w:val="18"/>
                <w:szCs w:val="18"/>
                <w:lang w:bidi="ar"/>
              </w:rPr>
              <w:t>提供批复文件</w:t>
            </w:r>
          </w:p>
        </w:tc>
      </w:tr>
      <w:tr w14:paraId="5693FE52">
        <w:tblPrEx>
          <w:tblCellMar>
            <w:top w:w="0" w:type="dxa"/>
            <w:left w:w="108" w:type="dxa"/>
            <w:bottom w:w="0" w:type="dxa"/>
            <w:right w:w="108" w:type="dxa"/>
          </w:tblCellMar>
        </w:tblPrEx>
        <w:trPr>
          <w:trHeight w:val="740" w:hRule="atLeast"/>
        </w:trPr>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90B168">
            <w:pPr>
              <w:textAlignment w:val="center"/>
              <w:rPr>
                <w:rFonts w:ascii="Times New Roman Regular" w:hAnsi="Times New Roman Regular" w:cs="Times New Roman Regular"/>
                <w:b w:val="0"/>
                <w:bCs w:val="0"/>
                <w:sz w:val="18"/>
                <w:szCs w:val="18"/>
              </w:rPr>
            </w:pPr>
            <w:r>
              <w:rPr>
                <w:rFonts w:ascii="Times New Roman Regular" w:hAnsi="Times New Roman Regular" w:cs="Times New Roman Regular"/>
                <w:b w:val="0"/>
                <w:bCs w:val="0"/>
                <w:sz w:val="18"/>
                <w:szCs w:val="18"/>
                <w:lang w:bidi="ar"/>
              </w:rPr>
              <w:t>2</w:t>
            </w:r>
          </w:p>
        </w:tc>
        <w:tc>
          <w:tcPr>
            <w:tcW w:w="759" w:type="pct"/>
            <w:vMerge w:val="continue"/>
            <w:tcBorders>
              <w:top w:val="nil"/>
              <w:left w:val="nil"/>
              <w:bottom w:val="nil"/>
              <w:right w:val="nil"/>
            </w:tcBorders>
            <w:shd w:val="clear" w:color="auto" w:fill="auto"/>
            <w:noWrap/>
            <w:vAlign w:val="center"/>
          </w:tcPr>
          <w:p w14:paraId="13057289">
            <w:pPr>
              <w:rPr>
                <w:rFonts w:ascii="Times New Roman Regular" w:hAnsi="Times New Roman Regular" w:cs="Times New Roman Regular"/>
                <w:b w:val="0"/>
                <w:bCs w:val="0"/>
                <w:sz w:val="18"/>
                <w:szCs w:val="18"/>
              </w:rPr>
            </w:pPr>
          </w:p>
        </w:tc>
        <w:tc>
          <w:tcPr>
            <w:tcW w:w="2092" w:type="pct"/>
            <w:tcBorders>
              <w:top w:val="single" w:color="000000" w:sz="4" w:space="0"/>
              <w:left w:val="single" w:color="000000" w:sz="4" w:space="0"/>
              <w:bottom w:val="single" w:color="000000" w:sz="4" w:space="0"/>
              <w:right w:val="nil"/>
            </w:tcBorders>
            <w:shd w:val="clear" w:color="auto" w:fill="auto"/>
            <w:vAlign w:val="center"/>
          </w:tcPr>
          <w:p w14:paraId="698AA675">
            <w:pPr>
              <w:jc w:val="left"/>
              <w:textAlignment w:val="center"/>
              <w:rPr>
                <w:rFonts w:ascii="Times New Roman Regular" w:hAnsi="Times New Roman Regular" w:cs="Times New Roman Regular"/>
                <w:b w:val="0"/>
                <w:bCs w:val="0"/>
                <w:sz w:val="18"/>
                <w:szCs w:val="18"/>
              </w:rPr>
            </w:pPr>
            <w:r>
              <w:rPr>
                <w:rFonts w:ascii="Times New Roman Regular" w:hAnsi="Times New Roman Regular" w:cs="Times New Roman Regular"/>
                <w:b w:val="0"/>
                <w:bCs w:val="0"/>
                <w:sz w:val="18"/>
                <w:szCs w:val="18"/>
                <w:lang w:bidi="ar"/>
              </w:rPr>
              <w:t>经报批举办的国内篮球赛事活动</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EF3CC1">
            <w:pPr>
              <w:rPr>
                <w:rFonts w:ascii="Times New Roman Regular" w:hAnsi="Times New Roman Regular" w:cs="Times New Roman Regular"/>
                <w:b w:val="0"/>
                <w:bCs w:val="0"/>
                <w:sz w:val="18"/>
                <w:szCs w:val="18"/>
              </w:rPr>
            </w:pPr>
          </w:p>
        </w:tc>
        <w:tc>
          <w:tcPr>
            <w:tcW w:w="4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57F4B">
            <w:pPr>
              <w:jc w:val="both"/>
              <w:textAlignment w:val="center"/>
              <w:rPr>
                <w:rFonts w:ascii="Times New Roman Regular" w:hAnsi="Times New Roman Regular" w:cs="Times New Roman Regular"/>
                <w:b w:val="0"/>
                <w:bCs w:val="0"/>
                <w:sz w:val="18"/>
                <w:szCs w:val="18"/>
              </w:rPr>
            </w:pPr>
            <w:r>
              <w:rPr>
                <w:rFonts w:ascii="Times New Roman Regular" w:hAnsi="Times New Roman Regular" w:cs="Times New Roman Regular"/>
                <w:b w:val="0"/>
                <w:bCs w:val="0"/>
                <w:sz w:val="18"/>
                <w:szCs w:val="18"/>
                <w:lang w:bidi="ar"/>
              </w:rPr>
              <w:t xml:space="preserve"> </w:t>
            </w: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26EE7E">
            <w:pPr>
              <w:jc w:val="left"/>
              <w:textAlignment w:val="center"/>
              <w:rPr>
                <w:rFonts w:ascii="Times New Roman Regular" w:hAnsi="Times New Roman Regular" w:cs="Times New Roman Regular"/>
                <w:b w:val="0"/>
                <w:bCs w:val="0"/>
                <w:sz w:val="18"/>
                <w:szCs w:val="18"/>
              </w:rPr>
            </w:pPr>
            <w:r>
              <w:rPr>
                <w:rFonts w:ascii="Times New Roman Regular" w:hAnsi="Times New Roman Regular" w:cs="Times New Roman Regular"/>
                <w:b w:val="0"/>
                <w:bCs w:val="0"/>
                <w:sz w:val="18"/>
                <w:szCs w:val="18"/>
                <w:lang w:bidi="ar"/>
              </w:rPr>
              <w:t>提供</w:t>
            </w:r>
            <w:r>
              <w:rPr>
                <w:rFonts w:hint="eastAsia" w:ascii="Times New Roman Regular" w:hAnsi="Times New Roman Regular" w:cs="Times New Roman Regular"/>
                <w:b w:val="0"/>
                <w:bCs w:val="0"/>
                <w:sz w:val="18"/>
                <w:szCs w:val="18"/>
                <w:lang w:bidi="ar"/>
              </w:rPr>
              <w:t>许可</w:t>
            </w:r>
            <w:r>
              <w:rPr>
                <w:rFonts w:ascii="Times New Roman Regular" w:hAnsi="Times New Roman Regular" w:cs="Times New Roman Regular"/>
                <w:b w:val="0"/>
                <w:bCs w:val="0"/>
                <w:sz w:val="18"/>
                <w:szCs w:val="18"/>
                <w:lang w:bidi="ar"/>
              </w:rPr>
              <w:t>文件</w:t>
            </w:r>
          </w:p>
        </w:tc>
      </w:tr>
      <w:tr w14:paraId="3BD87156">
        <w:tblPrEx>
          <w:tblCellMar>
            <w:top w:w="0" w:type="dxa"/>
            <w:left w:w="108" w:type="dxa"/>
            <w:bottom w:w="0" w:type="dxa"/>
            <w:right w:w="108" w:type="dxa"/>
          </w:tblCellMar>
        </w:tblPrEx>
        <w:trPr>
          <w:trHeight w:val="780" w:hRule="atLeast"/>
        </w:trPr>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A9B841">
            <w:pPr>
              <w:textAlignment w:val="center"/>
              <w:rPr>
                <w:rFonts w:ascii="Times New Roman Regular" w:hAnsi="Times New Roman Regular" w:cs="Times New Roman Regular"/>
                <w:b w:val="0"/>
                <w:bCs w:val="0"/>
                <w:sz w:val="18"/>
                <w:szCs w:val="18"/>
              </w:rPr>
            </w:pPr>
            <w:r>
              <w:rPr>
                <w:rFonts w:ascii="Times New Roman Regular" w:hAnsi="Times New Roman Regular" w:cs="Times New Roman Regular"/>
                <w:b w:val="0"/>
                <w:bCs w:val="0"/>
                <w:sz w:val="18"/>
                <w:szCs w:val="18"/>
                <w:lang w:bidi="ar"/>
              </w:rPr>
              <w:t>3</w:t>
            </w:r>
          </w:p>
        </w:tc>
        <w:tc>
          <w:tcPr>
            <w:tcW w:w="759" w:type="pct"/>
            <w:vMerge w:val="continue"/>
            <w:tcBorders>
              <w:top w:val="nil"/>
              <w:left w:val="nil"/>
              <w:bottom w:val="nil"/>
              <w:right w:val="nil"/>
            </w:tcBorders>
            <w:shd w:val="clear" w:color="auto" w:fill="auto"/>
            <w:noWrap/>
            <w:vAlign w:val="center"/>
          </w:tcPr>
          <w:p w14:paraId="0F5B5526">
            <w:pPr>
              <w:rPr>
                <w:rFonts w:ascii="Times New Roman Regular" w:hAnsi="Times New Roman Regular" w:cs="Times New Roman Regular"/>
                <w:b w:val="0"/>
                <w:bCs w:val="0"/>
                <w:sz w:val="18"/>
                <w:szCs w:val="18"/>
              </w:rPr>
            </w:pPr>
          </w:p>
        </w:tc>
        <w:tc>
          <w:tcPr>
            <w:tcW w:w="2092" w:type="pct"/>
            <w:tcBorders>
              <w:top w:val="single" w:color="000000" w:sz="4" w:space="0"/>
              <w:left w:val="single" w:color="000000" w:sz="4" w:space="0"/>
              <w:bottom w:val="single" w:color="000000" w:sz="4" w:space="0"/>
              <w:right w:val="nil"/>
            </w:tcBorders>
            <w:shd w:val="clear" w:color="auto" w:fill="auto"/>
            <w:vAlign w:val="center"/>
          </w:tcPr>
          <w:p w14:paraId="7A681795">
            <w:pPr>
              <w:jc w:val="left"/>
              <w:textAlignment w:val="center"/>
              <w:rPr>
                <w:rFonts w:ascii="Times New Roman Regular" w:hAnsi="Times New Roman Regular" w:cs="Times New Roman Regular"/>
                <w:b w:val="0"/>
                <w:bCs w:val="0"/>
                <w:sz w:val="18"/>
                <w:szCs w:val="18"/>
              </w:rPr>
            </w:pPr>
            <w:r>
              <w:rPr>
                <w:rFonts w:ascii="Times New Roman Regular" w:hAnsi="Times New Roman Regular" w:cs="Times New Roman Regular"/>
                <w:b w:val="0"/>
                <w:bCs w:val="0"/>
                <w:sz w:val="18"/>
                <w:szCs w:val="18"/>
                <w:lang w:bidi="ar"/>
              </w:rPr>
              <w:t>经备案举办的篮球赛事活动</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69D0AA">
            <w:pPr>
              <w:rPr>
                <w:rFonts w:ascii="Times New Roman Regular" w:hAnsi="Times New Roman Regular" w:cs="Times New Roman Regular"/>
                <w:b w:val="0"/>
                <w:bCs w:val="0"/>
                <w:sz w:val="18"/>
                <w:szCs w:val="18"/>
              </w:rPr>
            </w:pPr>
          </w:p>
        </w:tc>
        <w:tc>
          <w:tcPr>
            <w:tcW w:w="4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2ED3F7">
            <w:pPr>
              <w:jc w:val="left"/>
              <w:textAlignment w:val="center"/>
              <w:rPr>
                <w:rFonts w:ascii="Times New Roman Regular" w:hAnsi="Times New Roman Regular" w:cs="Times New Roman Regular"/>
                <w:b w:val="0"/>
                <w:bCs w:val="0"/>
                <w:sz w:val="18"/>
                <w:szCs w:val="18"/>
              </w:rPr>
            </w:pPr>
            <w:r>
              <w:rPr>
                <w:rFonts w:ascii="Times New Roman Regular" w:hAnsi="Times New Roman Regular" w:cs="Times New Roman Regular"/>
                <w:b w:val="0"/>
                <w:bCs w:val="0"/>
                <w:sz w:val="18"/>
                <w:szCs w:val="18"/>
                <w:lang w:bidi="ar"/>
              </w:rPr>
              <w:t xml:space="preserve"> </w:t>
            </w: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688924">
            <w:pPr>
              <w:jc w:val="left"/>
              <w:textAlignment w:val="center"/>
              <w:rPr>
                <w:rFonts w:ascii="Times New Roman Regular" w:hAnsi="Times New Roman Regular" w:cs="Times New Roman Regular"/>
                <w:b w:val="0"/>
                <w:bCs w:val="0"/>
                <w:sz w:val="18"/>
                <w:szCs w:val="18"/>
              </w:rPr>
            </w:pPr>
            <w:r>
              <w:rPr>
                <w:rFonts w:ascii="Times New Roman Regular" w:hAnsi="Times New Roman Regular" w:cs="Times New Roman Regular"/>
                <w:b w:val="0"/>
                <w:bCs w:val="0"/>
                <w:sz w:val="18"/>
                <w:szCs w:val="18"/>
                <w:lang w:bidi="ar"/>
              </w:rPr>
              <w:t>提供备案文件</w:t>
            </w:r>
          </w:p>
        </w:tc>
      </w:tr>
      <w:tr w14:paraId="5F9158ED">
        <w:tblPrEx>
          <w:tblCellMar>
            <w:top w:w="0" w:type="dxa"/>
            <w:left w:w="108" w:type="dxa"/>
            <w:bottom w:w="0" w:type="dxa"/>
            <w:right w:w="108" w:type="dxa"/>
          </w:tblCellMar>
        </w:tblPrEx>
        <w:trPr>
          <w:trHeight w:val="740" w:hRule="atLeast"/>
        </w:trPr>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06EE2A">
            <w:pPr>
              <w:textAlignment w:val="center"/>
              <w:rPr>
                <w:rFonts w:ascii="Times New Roman Regular" w:hAnsi="Times New Roman Regular" w:cs="Times New Roman Regular"/>
                <w:b w:val="0"/>
                <w:bCs w:val="0"/>
                <w:sz w:val="18"/>
                <w:szCs w:val="18"/>
              </w:rPr>
            </w:pPr>
            <w:r>
              <w:rPr>
                <w:rFonts w:ascii="Times New Roman Regular" w:hAnsi="Times New Roman Regular" w:cs="Times New Roman Regular"/>
                <w:b w:val="0"/>
                <w:bCs w:val="0"/>
                <w:sz w:val="18"/>
                <w:szCs w:val="18"/>
                <w:lang w:bidi="ar"/>
              </w:rPr>
              <w:t>4</w:t>
            </w:r>
          </w:p>
        </w:tc>
        <w:tc>
          <w:tcPr>
            <w:tcW w:w="759"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7EC923">
            <w:pPr>
              <w:textAlignment w:val="center"/>
              <w:rPr>
                <w:rFonts w:ascii="Times New Roman Regular" w:hAnsi="Times New Roman Regular" w:cs="Times New Roman Regular"/>
                <w:b w:val="0"/>
                <w:bCs w:val="0"/>
                <w:sz w:val="18"/>
                <w:szCs w:val="18"/>
              </w:rPr>
            </w:pPr>
            <w:r>
              <w:rPr>
                <w:rFonts w:ascii="Times New Roman Regular" w:hAnsi="Times New Roman Regular" w:cs="Times New Roman Regular"/>
                <w:b w:val="0"/>
                <w:bCs w:val="0"/>
                <w:sz w:val="18"/>
                <w:szCs w:val="18"/>
                <w:lang w:bidi="ar"/>
              </w:rPr>
              <w:t>工作预案制定</w:t>
            </w:r>
          </w:p>
        </w:tc>
        <w:tc>
          <w:tcPr>
            <w:tcW w:w="2092" w:type="pct"/>
            <w:tcBorders>
              <w:top w:val="single" w:color="000000" w:sz="4" w:space="0"/>
              <w:left w:val="nil"/>
              <w:bottom w:val="single" w:color="000000" w:sz="4" w:space="0"/>
              <w:right w:val="nil"/>
            </w:tcBorders>
            <w:shd w:val="clear" w:color="auto" w:fill="auto"/>
            <w:vAlign w:val="center"/>
          </w:tcPr>
          <w:p w14:paraId="7262A521">
            <w:pPr>
              <w:jc w:val="left"/>
              <w:textAlignment w:val="center"/>
              <w:rPr>
                <w:rFonts w:ascii="Times New Roman Regular" w:hAnsi="Times New Roman Regular" w:cs="Times New Roman Regular"/>
                <w:b w:val="0"/>
                <w:bCs w:val="0"/>
                <w:sz w:val="18"/>
                <w:szCs w:val="18"/>
              </w:rPr>
            </w:pPr>
            <w:r>
              <w:rPr>
                <w:rFonts w:ascii="Times New Roman Regular" w:hAnsi="Times New Roman Regular" w:cs="Times New Roman Regular"/>
                <w:b w:val="0"/>
                <w:bCs w:val="0"/>
                <w:sz w:val="18"/>
                <w:szCs w:val="18"/>
                <w:lang w:bidi="ar"/>
              </w:rPr>
              <w:t>结合实际制定落实安全办赛方案、安保工作方案、观赛保障方案、“熔断”工作方案和应急预案的；</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C7E981">
            <w:pPr>
              <w:rPr>
                <w:rFonts w:ascii="Times New Roman Regular" w:hAnsi="Times New Roman Regular" w:cs="Times New Roman Regular"/>
                <w:b w:val="0"/>
                <w:bCs w:val="0"/>
                <w:sz w:val="18"/>
                <w:szCs w:val="18"/>
              </w:rPr>
            </w:pPr>
          </w:p>
        </w:tc>
        <w:tc>
          <w:tcPr>
            <w:tcW w:w="4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9B15D8">
            <w:pPr>
              <w:rPr>
                <w:rFonts w:ascii="Times New Roman Regular" w:hAnsi="Times New Roman Regular" w:cs="Times New Roman Regular"/>
                <w:b w:val="0"/>
                <w:bCs w:val="0"/>
                <w:sz w:val="18"/>
                <w:szCs w:val="18"/>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29AA5D">
            <w:pPr>
              <w:jc w:val="left"/>
              <w:textAlignment w:val="center"/>
              <w:rPr>
                <w:rFonts w:ascii="Times New Roman Regular" w:hAnsi="Times New Roman Regular" w:cs="Times New Roman Regular"/>
                <w:b w:val="0"/>
                <w:bCs w:val="0"/>
                <w:sz w:val="18"/>
                <w:szCs w:val="18"/>
              </w:rPr>
            </w:pPr>
            <w:r>
              <w:rPr>
                <w:rFonts w:ascii="Times New Roman Regular" w:hAnsi="Times New Roman Regular" w:cs="Times New Roman Regular"/>
                <w:b w:val="0"/>
                <w:bCs w:val="0"/>
                <w:sz w:val="18"/>
                <w:szCs w:val="18"/>
                <w:lang w:bidi="ar"/>
              </w:rPr>
              <w:t>提供方案、预案文件</w:t>
            </w:r>
          </w:p>
        </w:tc>
      </w:tr>
      <w:tr w14:paraId="7E700B17">
        <w:tblPrEx>
          <w:tblCellMar>
            <w:top w:w="0" w:type="dxa"/>
            <w:left w:w="108" w:type="dxa"/>
            <w:bottom w:w="0" w:type="dxa"/>
            <w:right w:w="108" w:type="dxa"/>
          </w:tblCellMar>
        </w:tblPrEx>
        <w:trPr>
          <w:trHeight w:val="780" w:hRule="atLeast"/>
        </w:trPr>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89B200">
            <w:pPr>
              <w:textAlignment w:val="center"/>
              <w:rPr>
                <w:rFonts w:ascii="Times New Roman Regular" w:hAnsi="Times New Roman Regular" w:cs="Times New Roman Regular"/>
                <w:b w:val="0"/>
                <w:bCs w:val="0"/>
                <w:sz w:val="18"/>
                <w:szCs w:val="18"/>
              </w:rPr>
            </w:pPr>
            <w:r>
              <w:rPr>
                <w:rFonts w:ascii="Times New Roman Regular" w:hAnsi="Times New Roman Regular" w:cs="Times New Roman Regular"/>
                <w:b w:val="0"/>
                <w:bCs w:val="0"/>
                <w:sz w:val="18"/>
                <w:szCs w:val="18"/>
                <w:lang w:bidi="ar"/>
              </w:rPr>
              <w:t>5</w:t>
            </w: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B3A77">
            <w:pPr>
              <w:rPr>
                <w:rFonts w:ascii="Times New Roman Regular" w:hAnsi="Times New Roman Regular" w:cs="Times New Roman Regular"/>
                <w:b w:val="0"/>
                <w:bCs w:val="0"/>
                <w:sz w:val="18"/>
                <w:szCs w:val="18"/>
              </w:rPr>
            </w:pPr>
          </w:p>
        </w:tc>
        <w:tc>
          <w:tcPr>
            <w:tcW w:w="2092" w:type="pct"/>
            <w:tcBorders>
              <w:top w:val="single" w:color="000000" w:sz="4" w:space="0"/>
              <w:left w:val="nil"/>
              <w:bottom w:val="single" w:color="000000" w:sz="4" w:space="0"/>
              <w:right w:val="nil"/>
            </w:tcBorders>
            <w:shd w:val="clear" w:color="auto" w:fill="auto"/>
            <w:vAlign w:val="center"/>
          </w:tcPr>
          <w:p w14:paraId="2E6AF35F">
            <w:pPr>
              <w:jc w:val="left"/>
              <w:textAlignment w:val="center"/>
              <w:rPr>
                <w:rFonts w:ascii="Times New Roman Regular" w:hAnsi="Times New Roman Regular" w:cs="Times New Roman Regular"/>
                <w:b w:val="0"/>
                <w:bCs w:val="0"/>
                <w:sz w:val="18"/>
                <w:szCs w:val="18"/>
              </w:rPr>
            </w:pPr>
            <w:r>
              <w:rPr>
                <w:rFonts w:ascii="Times New Roman Regular" w:hAnsi="Times New Roman Regular" w:cs="Times New Roman Regular"/>
                <w:b w:val="0"/>
                <w:bCs w:val="0"/>
                <w:sz w:val="18"/>
                <w:szCs w:val="18"/>
                <w:lang w:bidi="ar"/>
              </w:rPr>
              <w:t>对天气状况、活动场所自然环境等风险因素进行分析，开展跟踪监测和预警</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4C314F">
            <w:pPr>
              <w:rPr>
                <w:rFonts w:ascii="Times New Roman Regular" w:hAnsi="Times New Roman Regular" w:cs="Times New Roman Regular"/>
                <w:b w:val="0"/>
                <w:bCs w:val="0"/>
                <w:sz w:val="18"/>
                <w:szCs w:val="18"/>
              </w:rPr>
            </w:pPr>
          </w:p>
        </w:tc>
        <w:tc>
          <w:tcPr>
            <w:tcW w:w="4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3864F2">
            <w:pPr>
              <w:jc w:val="left"/>
              <w:rPr>
                <w:rFonts w:ascii="Times New Roman Regular" w:hAnsi="Times New Roman Regular" w:cs="Times New Roman Regular"/>
                <w:b w:val="0"/>
                <w:bCs w:val="0"/>
                <w:sz w:val="18"/>
                <w:szCs w:val="18"/>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B91A17">
            <w:pPr>
              <w:jc w:val="left"/>
              <w:textAlignment w:val="center"/>
              <w:rPr>
                <w:rFonts w:ascii="Times New Roman Regular" w:hAnsi="Times New Roman Regular" w:cs="Times New Roman Regular"/>
                <w:b w:val="0"/>
                <w:bCs w:val="0"/>
                <w:sz w:val="18"/>
                <w:szCs w:val="18"/>
              </w:rPr>
            </w:pPr>
            <w:r>
              <w:rPr>
                <w:rFonts w:ascii="Times New Roman Regular" w:hAnsi="Times New Roman Regular" w:cs="Times New Roman Regular"/>
                <w:b w:val="0"/>
                <w:bCs w:val="0"/>
                <w:sz w:val="18"/>
                <w:szCs w:val="18"/>
                <w:lang w:bidi="ar"/>
              </w:rPr>
              <w:t>提供方案、预案文件</w:t>
            </w:r>
          </w:p>
        </w:tc>
      </w:tr>
      <w:tr w14:paraId="45FA3B71">
        <w:tblPrEx>
          <w:tblCellMar>
            <w:top w:w="0" w:type="dxa"/>
            <w:left w:w="108" w:type="dxa"/>
            <w:bottom w:w="0" w:type="dxa"/>
            <w:right w:w="108" w:type="dxa"/>
          </w:tblCellMar>
        </w:tblPrEx>
        <w:trPr>
          <w:trHeight w:val="780" w:hRule="atLeast"/>
        </w:trPr>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9F1C73">
            <w:pPr>
              <w:textAlignment w:val="center"/>
              <w:rPr>
                <w:rFonts w:ascii="Times New Roman Regular" w:hAnsi="Times New Roman Regular" w:cs="Times New Roman Regular"/>
                <w:b w:val="0"/>
                <w:bCs w:val="0"/>
                <w:sz w:val="18"/>
                <w:szCs w:val="18"/>
              </w:rPr>
            </w:pPr>
            <w:r>
              <w:rPr>
                <w:rFonts w:ascii="Times New Roman Regular" w:hAnsi="Times New Roman Regular" w:cs="Times New Roman Regular"/>
                <w:b w:val="0"/>
                <w:bCs w:val="0"/>
                <w:sz w:val="18"/>
                <w:szCs w:val="18"/>
                <w:lang w:bidi="ar"/>
              </w:rPr>
              <w:t>6</w:t>
            </w: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AF1BB">
            <w:pPr>
              <w:rPr>
                <w:rFonts w:ascii="Times New Roman Regular" w:hAnsi="Times New Roman Regular" w:cs="Times New Roman Regular"/>
                <w:b w:val="0"/>
                <w:bCs w:val="0"/>
                <w:sz w:val="18"/>
                <w:szCs w:val="18"/>
              </w:rPr>
            </w:pPr>
          </w:p>
        </w:tc>
        <w:tc>
          <w:tcPr>
            <w:tcW w:w="2092" w:type="pct"/>
            <w:tcBorders>
              <w:top w:val="single" w:color="000000" w:sz="4" w:space="0"/>
              <w:left w:val="nil"/>
              <w:bottom w:val="single" w:color="000000" w:sz="4" w:space="0"/>
              <w:right w:val="nil"/>
            </w:tcBorders>
            <w:shd w:val="clear" w:color="auto" w:fill="auto"/>
            <w:vAlign w:val="center"/>
          </w:tcPr>
          <w:p w14:paraId="7A02E592">
            <w:pPr>
              <w:jc w:val="left"/>
              <w:textAlignment w:val="center"/>
              <w:rPr>
                <w:rFonts w:ascii="Times New Roman Regular" w:hAnsi="Times New Roman Regular" w:cs="Times New Roman Regular"/>
                <w:b w:val="0"/>
                <w:bCs w:val="0"/>
                <w:sz w:val="18"/>
                <w:szCs w:val="18"/>
              </w:rPr>
            </w:pPr>
            <w:r>
              <w:rPr>
                <w:rFonts w:ascii="Times New Roman Regular" w:hAnsi="Times New Roman Regular" w:cs="Times New Roman Regular"/>
                <w:b w:val="0"/>
                <w:bCs w:val="0"/>
                <w:sz w:val="18"/>
                <w:szCs w:val="18"/>
                <w:lang w:bidi="ar"/>
              </w:rPr>
              <w:t>对赛事活动举办过程中可能引发观众冲突、恐慌、踩踏等风险进行分析研判和分类管理</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E0910F">
            <w:pPr>
              <w:rPr>
                <w:rFonts w:ascii="Times New Roman Regular" w:hAnsi="Times New Roman Regular" w:cs="Times New Roman Regular"/>
                <w:b w:val="0"/>
                <w:bCs w:val="0"/>
                <w:sz w:val="18"/>
                <w:szCs w:val="18"/>
              </w:rPr>
            </w:pPr>
          </w:p>
        </w:tc>
        <w:tc>
          <w:tcPr>
            <w:tcW w:w="4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3BBB4E">
            <w:pPr>
              <w:jc w:val="left"/>
              <w:textAlignment w:val="center"/>
              <w:rPr>
                <w:rFonts w:ascii="Times New Roman Regular" w:hAnsi="Times New Roman Regular" w:cs="Times New Roman Regular"/>
                <w:b w:val="0"/>
                <w:bCs w:val="0"/>
                <w:sz w:val="18"/>
                <w:szCs w:val="18"/>
              </w:rPr>
            </w:pPr>
            <w:r>
              <w:rPr>
                <w:rFonts w:ascii="Times New Roman Regular" w:hAnsi="Times New Roman Regular" w:cs="Times New Roman Regular"/>
                <w:b w:val="0"/>
                <w:bCs w:val="0"/>
                <w:sz w:val="18"/>
                <w:szCs w:val="18"/>
                <w:lang w:bidi="ar"/>
              </w:rPr>
              <w:t xml:space="preserve"> </w:t>
            </w: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62B2F5">
            <w:pPr>
              <w:jc w:val="left"/>
              <w:textAlignment w:val="center"/>
              <w:rPr>
                <w:rFonts w:ascii="Times New Roman Regular" w:hAnsi="Times New Roman Regular" w:cs="Times New Roman Regular"/>
                <w:b w:val="0"/>
                <w:bCs w:val="0"/>
                <w:sz w:val="18"/>
                <w:szCs w:val="18"/>
              </w:rPr>
            </w:pPr>
            <w:r>
              <w:rPr>
                <w:rFonts w:ascii="Times New Roman Regular" w:hAnsi="Times New Roman Regular" w:cs="Times New Roman Regular"/>
                <w:b w:val="0"/>
                <w:bCs w:val="0"/>
                <w:sz w:val="18"/>
                <w:szCs w:val="18"/>
                <w:lang w:bidi="ar"/>
              </w:rPr>
              <w:t>提供方案、预案文件</w:t>
            </w:r>
          </w:p>
        </w:tc>
      </w:tr>
      <w:tr w14:paraId="620A0B49">
        <w:tblPrEx>
          <w:tblCellMar>
            <w:top w:w="0" w:type="dxa"/>
            <w:left w:w="108" w:type="dxa"/>
            <w:bottom w:w="0" w:type="dxa"/>
            <w:right w:w="108" w:type="dxa"/>
          </w:tblCellMar>
        </w:tblPrEx>
        <w:trPr>
          <w:trHeight w:val="800" w:hRule="atLeast"/>
        </w:trPr>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7F966A">
            <w:pPr>
              <w:textAlignment w:val="center"/>
              <w:rPr>
                <w:rFonts w:ascii="Times New Roman Regular" w:hAnsi="Times New Roman Regular" w:cs="Times New Roman Regular"/>
                <w:b w:val="0"/>
                <w:bCs w:val="0"/>
                <w:sz w:val="18"/>
                <w:szCs w:val="18"/>
              </w:rPr>
            </w:pPr>
            <w:r>
              <w:rPr>
                <w:rFonts w:ascii="Times New Roman Regular" w:hAnsi="Times New Roman Regular" w:cs="Times New Roman Regular"/>
                <w:b w:val="0"/>
                <w:bCs w:val="0"/>
                <w:sz w:val="18"/>
                <w:szCs w:val="18"/>
                <w:lang w:bidi="ar"/>
              </w:rPr>
              <w:t>7</w:t>
            </w: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CF7D5">
            <w:pPr>
              <w:rPr>
                <w:rFonts w:ascii="Times New Roman Regular" w:hAnsi="Times New Roman Regular" w:cs="Times New Roman Regular"/>
                <w:b w:val="0"/>
                <w:bCs w:val="0"/>
                <w:sz w:val="18"/>
                <w:szCs w:val="18"/>
              </w:rPr>
            </w:pPr>
          </w:p>
        </w:tc>
        <w:tc>
          <w:tcPr>
            <w:tcW w:w="20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C0E32D">
            <w:pPr>
              <w:jc w:val="left"/>
              <w:textAlignment w:val="center"/>
              <w:rPr>
                <w:rFonts w:ascii="Times New Roman Regular" w:hAnsi="Times New Roman Regular" w:cs="Times New Roman Regular"/>
                <w:b w:val="0"/>
                <w:bCs w:val="0"/>
                <w:sz w:val="18"/>
                <w:szCs w:val="18"/>
              </w:rPr>
            </w:pPr>
            <w:r>
              <w:rPr>
                <w:rFonts w:ascii="Times New Roman Regular" w:hAnsi="Times New Roman Regular" w:cs="Times New Roman Regular"/>
                <w:b w:val="0"/>
                <w:bCs w:val="0"/>
                <w:sz w:val="18"/>
                <w:szCs w:val="18"/>
                <w:lang w:bidi="ar"/>
              </w:rPr>
              <w:t>对赛事活动中所必需的危险化学品、易燃易爆品、特种设备等制定应急预案</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4B83FD">
            <w:pPr>
              <w:rPr>
                <w:rFonts w:ascii="Times New Roman Regular" w:hAnsi="Times New Roman Regular" w:cs="Times New Roman Regular"/>
                <w:b w:val="0"/>
                <w:bCs w:val="0"/>
                <w:sz w:val="18"/>
                <w:szCs w:val="18"/>
              </w:rPr>
            </w:pPr>
          </w:p>
        </w:tc>
        <w:tc>
          <w:tcPr>
            <w:tcW w:w="4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8E71B0">
            <w:pPr>
              <w:jc w:val="left"/>
              <w:textAlignment w:val="center"/>
              <w:rPr>
                <w:rFonts w:ascii="Times New Roman Regular" w:hAnsi="Times New Roman Regular" w:cs="Times New Roman Regular"/>
                <w:b w:val="0"/>
                <w:bCs w:val="0"/>
                <w:sz w:val="18"/>
                <w:szCs w:val="18"/>
              </w:rPr>
            </w:pPr>
            <w:r>
              <w:rPr>
                <w:rFonts w:ascii="Times New Roman Regular" w:hAnsi="Times New Roman Regular" w:cs="Times New Roman Regular"/>
                <w:b w:val="0"/>
                <w:bCs w:val="0"/>
                <w:sz w:val="18"/>
                <w:szCs w:val="18"/>
                <w:lang w:bidi="ar"/>
              </w:rPr>
              <w:t xml:space="preserve"> </w:t>
            </w: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A62260">
            <w:pPr>
              <w:jc w:val="left"/>
              <w:textAlignment w:val="center"/>
              <w:rPr>
                <w:rFonts w:ascii="Times New Roman Regular" w:hAnsi="Times New Roman Regular" w:cs="Times New Roman Regular"/>
                <w:b w:val="0"/>
                <w:bCs w:val="0"/>
                <w:sz w:val="18"/>
                <w:szCs w:val="18"/>
              </w:rPr>
            </w:pPr>
            <w:r>
              <w:rPr>
                <w:rFonts w:ascii="Times New Roman Regular" w:hAnsi="Times New Roman Regular" w:cs="Times New Roman Regular"/>
                <w:b w:val="0"/>
                <w:bCs w:val="0"/>
                <w:sz w:val="18"/>
                <w:szCs w:val="18"/>
                <w:lang w:bidi="ar"/>
              </w:rPr>
              <w:t>提供方案、预案文件</w:t>
            </w:r>
          </w:p>
        </w:tc>
      </w:tr>
      <w:tr w14:paraId="6B0D35E8">
        <w:tblPrEx>
          <w:tblCellMar>
            <w:top w:w="0" w:type="dxa"/>
            <w:left w:w="108" w:type="dxa"/>
            <w:bottom w:w="0" w:type="dxa"/>
            <w:right w:w="108" w:type="dxa"/>
          </w:tblCellMar>
        </w:tblPrEx>
        <w:trPr>
          <w:trHeight w:val="840" w:hRule="atLeast"/>
        </w:trPr>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B7676C">
            <w:pPr>
              <w:textAlignment w:val="center"/>
              <w:rPr>
                <w:rFonts w:ascii="Times New Roman Regular" w:hAnsi="Times New Roman Regular" w:cs="Times New Roman Regular"/>
                <w:b w:val="0"/>
                <w:bCs w:val="0"/>
                <w:sz w:val="18"/>
                <w:szCs w:val="18"/>
              </w:rPr>
            </w:pPr>
            <w:r>
              <w:rPr>
                <w:rFonts w:ascii="Times New Roman Regular" w:hAnsi="Times New Roman Regular" w:cs="Times New Roman Regular"/>
                <w:b w:val="0"/>
                <w:bCs w:val="0"/>
                <w:sz w:val="18"/>
                <w:szCs w:val="18"/>
                <w:lang w:bidi="ar"/>
              </w:rPr>
              <w:t>8</w:t>
            </w: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64620">
            <w:pPr>
              <w:rPr>
                <w:rFonts w:ascii="Times New Roman Regular" w:hAnsi="Times New Roman Regular" w:cs="Times New Roman Regular"/>
                <w:b w:val="0"/>
                <w:bCs w:val="0"/>
                <w:sz w:val="18"/>
                <w:szCs w:val="18"/>
              </w:rPr>
            </w:pPr>
          </w:p>
        </w:tc>
        <w:tc>
          <w:tcPr>
            <w:tcW w:w="2092" w:type="pct"/>
            <w:tcBorders>
              <w:top w:val="single" w:color="000000" w:sz="4" w:space="0"/>
              <w:left w:val="nil"/>
              <w:bottom w:val="single" w:color="000000" w:sz="4" w:space="0"/>
              <w:right w:val="single" w:color="000000" w:sz="4" w:space="0"/>
            </w:tcBorders>
            <w:shd w:val="clear" w:color="auto" w:fill="auto"/>
            <w:vAlign w:val="center"/>
          </w:tcPr>
          <w:p w14:paraId="74505F25">
            <w:pPr>
              <w:jc w:val="left"/>
              <w:textAlignment w:val="center"/>
              <w:rPr>
                <w:rFonts w:ascii="Times New Roman Regular" w:hAnsi="Times New Roman Regular" w:cs="Times New Roman Regular"/>
                <w:b w:val="0"/>
                <w:bCs w:val="0"/>
                <w:sz w:val="18"/>
                <w:szCs w:val="18"/>
              </w:rPr>
            </w:pPr>
            <w:r>
              <w:rPr>
                <w:rFonts w:ascii="Times New Roman Regular" w:hAnsi="Times New Roman Regular" w:cs="Times New Roman Regular"/>
                <w:b w:val="0"/>
                <w:bCs w:val="0"/>
                <w:sz w:val="18"/>
                <w:szCs w:val="18"/>
                <w:lang w:bidi="ar"/>
              </w:rPr>
              <w:t>对赛事活动中制定紧急救治工作方案</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91A2CC">
            <w:pPr>
              <w:rPr>
                <w:rFonts w:ascii="Times New Roman Regular" w:hAnsi="Times New Roman Regular" w:cs="Times New Roman Regular"/>
                <w:b w:val="0"/>
                <w:bCs w:val="0"/>
                <w:sz w:val="18"/>
                <w:szCs w:val="18"/>
              </w:rPr>
            </w:pPr>
          </w:p>
        </w:tc>
        <w:tc>
          <w:tcPr>
            <w:tcW w:w="4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157D73">
            <w:pPr>
              <w:jc w:val="left"/>
              <w:rPr>
                <w:rFonts w:ascii="Times New Roman Regular" w:hAnsi="Times New Roman Regular" w:cs="Times New Roman Regular"/>
                <w:b w:val="0"/>
                <w:bCs w:val="0"/>
                <w:sz w:val="18"/>
                <w:szCs w:val="18"/>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8FAAC3">
            <w:pPr>
              <w:jc w:val="left"/>
              <w:textAlignment w:val="center"/>
              <w:rPr>
                <w:rFonts w:ascii="Times New Roman Regular" w:hAnsi="Times New Roman Regular" w:cs="Times New Roman Regular"/>
                <w:b w:val="0"/>
                <w:bCs w:val="0"/>
                <w:sz w:val="18"/>
                <w:szCs w:val="18"/>
              </w:rPr>
            </w:pPr>
            <w:r>
              <w:rPr>
                <w:rFonts w:ascii="Times New Roman Regular" w:hAnsi="Times New Roman Regular" w:cs="Times New Roman Regular"/>
                <w:b w:val="0"/>
                <w:bCs w:val="0"/>
                <w:sz w:val="18"/>
                <w:szCs w:val="18"/>
                <w:lang w:bidi="ar"/>
              </w:rPr>
              <w:t>提供方案、预案文件</w:t>
            </w:r>
          </w:p>
        </w:tc>
      </w:tr>
      <w:tr w14:paraId="38B81580">
        <w:tblPrEx>
          <w:tblCellMar>
            <w:top w:w="0" w:type="dxa"/>
            <w:left w:w="108" w:type="dxa"/>
            <w:bottom w:w="0" w:type="dxa"/>
            <w:right w:w="108" w:type="dxa"/>
          </w:tblCellMar>
        </w:tblPrEx>
        <w:trPr>
          <w:trHeight w:val="740" w:hRule="atLeast"/>
        </w:trPr>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F4E31D">
            <w:pPr>
              <w:textAlignment w:val="center"/>
              <w:rPr>
                <w:rFonts w:ascii="Times New Roman Regular" w:hAnsi="Times New Roman Regular" w:cs="Times New Roman Regular"/>
                <w:b w:val="0"/>
                <w:bCs w:val="0"/>
                <w:sz w:val="18"/>
                <w:szCs w:val="18"/>
              </w:rPr>
            </w:pPr>
            <w:r>
              <w:rPr>
                <w:rFonts w:ascii="Times New Roman Regular" w:hAnsi="Times New Roman Regular" w:cs="Times New Roman Regular"/>
                <w:b w:val="0"/>
                <w:bCs w:val="0"/>
                <w:sz w:val="18"/>
                <w:szCs w:val="18"/>
                <w:lang w:bidi="ar"/>
              </w:rPr>
              <w:t>9</w:t>
            </w:r>
          </w:p>
        </w:tc>
        <w:tc>
          <w:tcPr>
            <w:tcW w:w="7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88047F">
            <w:pPr>
              <w:textAlignment w:val="center"/>
              <w:rPr>
                <w:rFonts w:ascii="Times New Roman Regular" w:hAnsi="Times New Roman Regular" w:cs="Times New Roman Regular"/>
                <w:b w:val="0"/>
                <w:bCs w:val="0"/>
                <w:sz w:val="18"/>
                <w:szCs w:val="18"/>
              </w:rPr>
            </w:pPr>
            <w:r>
              <w:rPr>
                <w:rFonts w:ascii="Times New Roman Regular" w:hAnsi="Times New Roman Regular" w:cs="Times New Roman Regular"/>
                <w:b w:val="0"/>
                <w:bCs w:val="0"/>
                <w:sz w:val="18"/>
                <w:szCs w:val="18"/>
                <w:lang w:bidi="ar"/>
              </w:rPr>
              <w:t>过程管理</w:t>
            </w:r>
          </w:p>
        </w:tc>
        <w:tc>
          <w:tcPr>
            <w:tcW w:w="2092" w:type="pct"/>
            <w:tcBorders>
              <w:top w:val="single" w:color="000000" w:sz="4" w:space="0"/>
              <w:left w:val="nil"/>
              <w:bottom w:val="single" w:color="000000" w:sz="4" w:space="0"/>
              <w:right w:val="nil"/>
            </w:tcBorders>
            <w:shd w:val="clear" w:color="auto" w:fill="auto"/>
            <w:vAlign w:val="center"/>
          </w:tcPr>
          <w:p w14:paraId="3EB9409D">
            <w:pPr>
              <w:jc w:val="left"/>
              <w:textAlignment w:val="center"/>
              <w:rPr>
                <w:rFonts w:ascii="Times New Roman Regular" w:hAnsi="Times New Roman Regular" w:cs="Times New Roman Regular"/>
                <w:b w:val="0"/>
                <w:bCs w:val="0"/>
                <w:sz w:val="18"/>
                <w:szCs w:val="18"/>
              </w:rPr>
            </w:pPr>
            <w:r>
              <w:rPr>
                <w:rFonts w:ascii="Times New Roman Regular" w:hAnsi="Times New Roman Regular" w:cs="Times New Roman Regular"/>
                <w:b w:val="0"/>
                <w:bCs w:val="0"/>
                <w:sz w:val="18"/>
                <w:szCs w:val="18"/>
                <w:lang w:bidi="ar"/>
              </w:rPr>
              <w:t>落实安全办赛方案、安保工作方案、观赛保障方案、“熔断”工作方案和应急预案的情况</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BE9265">
            <w:pPr>
              <w:rPr>
                <w:rFonts w:ascii="Times New Roman Regular" w:hAnsi="Times New Roman Regular" w:cs="Times New Roman Regular"/>
                <w:b w:val="0"/>
                <w:bCs w:val="0"/>
                <w:sz w:val="18"/>
                <w:szCs w:val="18"/>
              </w:rPr>
            </w:pPr>
          </w:p>
        </w:tc>
        <w:tc>
          <w:tcPr>
            <w:tcW w:w="4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FD5018">
            <w:pPr>
              <w:rPr>
                <w:rFonts w:ascii="Times New Roman Regular" w:hAnsi="Times New Roman Regular" w:cs="Times New Roman Regular"/>
                <w:b w:val="0"/>
                <w:bCs w:val="0"/>
                <w:sz w:val="18"/>
                <w:szCs w:val="18"/>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E71055">
            <w:pPr>
              <w:jc w:val="left"/>
              <w:textAlignment w:val="center"/>
              <w:rPr>
                <w:rFonts w:ascii="Times New Roman Regular" w:hAnsi="Times New Roman Regular" w:cs="Times New Roman Regular"/>
                <w:b w:val="0"/>
                <w:bCs w:val="0"/>
                <w:sz w:val="18"/>
                <w:szCs w:val="18"/>
              </w:rPr>
            </w:pPr>
            <w:r>
              <w:rPr>
                <w:rFonts w:ascii="Times New Roman Regular" w:hAnsi="Times New Roman Regular" w:cs="Times New Roman Regular"/>
                <w:b w:val="0"/>
                <w:bCs w:val="0"/>
                <w:sz w:val="18"/>
                <w:szCs w:val="18"/>
                <w:lang w:bidi="ar"/>
              </w:rPr>
              <w:t>提供落实材料</w:t>
            </w:r>
          </w:p>
        </w:tc>
      </w:tr>
      <w:tr w14:paraId="21B7D5C5">
        <w:tblPrEx>
          <w:tblCellMar>
            <w:top w:w="0" w:type="dxa"/>
            <w:left w:w="108" w:type="dxa"/>
            <w:bottom w:w="0" w:type="dxa"/>
            <w:right w:w="108" w:type="dxa"/>
          </w:tblCellMar>
        </w:tblPrEx>
        <w:trPr>
          <w:trHeight w:val="840" w:hRule="atLeast"/>
        </w:trPr>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289130">
            <w:pPr>
              <w:textAlignment w:val="center"/>
              <w:rPr>
                <w:rFonts w:ascii="Times New Roman Regular" w:hAnsi="Times New Roman Regular" w:cs="Times New Roman Regular"/>
                <w:b w:val="0"/>
                <w:bCs w:val="0"/>
                <w:sz w:val="18"/>
                <w:szCs w:val="18"/>
              </w:rPr>
            </w:pPr>
            <w:r>
              <w:rPr>
                <w:rFonts w:ascii="Times New Roman Regular" w:hAnsi="Times New Roman Regular" w:cs="Times New Roman Regular"/>
                <w:b w:val="0"/>
                <w:bCs w:val="0"/>
                <w:sz w:val="18"/>
                <w:szCs w:val="18"/>
                <w:lang w:bidi="ar"/>
              </w:rPr>
              <w:t>10</w:t>
            </w: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15B398">
            <w:pPr>
              <w:rPr>
                <w:rFonts w:ascii="Times New Roman Regular" w:hAnsi="Times New Roman Regular" w:cs="Times New Roman Regular"/>
                <w:b w:val="0"/>
                <w:bCs w:val="0"/>
                <w:sz w:val="18"/>
                <w:szCs w:val="18"/>
              </w:rPr>
            </w:pPr>
          </w:p>
        </w:tc>
        <w:tc>
          <w:tcPr>
            <w:tcW w:w="20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2F340E">
            <w:pPr>
              <w:jc w:val="left"/>
              <w:textAlignment w:val="center"/>
              <w:rPr>
                <w:rFonts w:ascii="Times New Roman Regular" w:hAnsi="Times New Roman Regular" w:cs="Times New Roman Regular"/>
                <w:b w:val="0"/>
                <w:bCs w:val="0"/>
                <w:sz w:val="18"/>
                <w:szCs w:val="18"/>
              </w:rPr>
            </w:pPr>
            <w:r>
              <w:rPr>
                <w:rFonts w:ascii="Times New Roman Regular" w:hAnsi="Times New Roman Regular" w:cs="Times New Roman Regular"/>
                <w:b w:val="0"/>
                <w:bCs w:val="0"/>
                <w:sz w:val="18"/>
                <w:szCs w:val="18"/>
                <w:lang w:bidi="ar"/>
              </w:rPr>
              <w:t>赛事活动开展过程中所必需的运动设施、保护设备、救援设备及医疗设备等存在配置充足、管理规范、不存在超期使用等情况</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126F23">
            <w:pPr>
              <w:rPr>
                <w:rFonts w:ascii="Times New Roman Regular" w:hAnsi="Times New Roman Regular" w:cs="Times New Roman Regular"/>
                <w:b w:val="0"/>
                <w:bCs w:val="0"/>
                <w:sz w:val="18"/>
                <w:szCs w:val="18"/>
              </w:rPr>
            </w:pPr>
          </w:p>
        </w:tc>
        <w:tc>
          <w:tcPr>
            <w:tcW w:w="4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DB15F8">
            <w:pPr>
              <w:jc w:val="left"/>
              <w:rPr>
                <w:rFonts w:ascii="Times New Roman Regular" w:hAnsi="Times New Roman Regular" w:cs="Times New Roman Regular"/>
                <w:b w:val="0"/>
                <w:bCs w:val="0"/>
                <w:sz w:val="18"/>
                <w:szCs w:val="18"/>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A55767">
            <w:pPr>
              <w:jc w:val="left"/>
              <w:textAlignment w:val="center"/>
              <w:rPr>
                <w:rFonts w:ascii="Times New Roman Regular" w:hAnsi="Times New Roman Regular" w:cs="Times New Roman Regular"/>
                <w:b w:val="0"/>
                <w:bCs w:val="0"/>
                <w:sz w:val="18"/>
                <w:szCs w:val="18"/>
              </w:rPr>
            </w:pPr>
            <w:r>
              <w:rPr>
                <w:rFonts w:ascii="Times New Roman Regular" w:hAnsi="Times New Roman Regular" w:cs="Times New Roman Regular"/>
                <w:b w:val="0"/>
                <w:bCs w:val="0"/>
                <w:sz w:val="18"/>
                <w:szCs w:val="18"/>
                <w:lang w:bidi="ar"/>
              </w:rPr>
              <w:t>提供支撑材料</w:t>
            </w:r>
          </w:p>
        </w:tc>
      </w:tr>
      <w:tr w14:paraId="78CFD63E">
        <w:tblPrEx>
          <w:tblCellMar>
            <w:top w:w="0" w:type="dxa"/>
            <w:left w:w="108" w:type="dxa"/>
            <w:bottom w:w="0" w:type="dxa"/>
            <w:right w:w="108" w:type="dxa"/>
          </w:tblCellMar>
        </w:tblPrEx>
        <w:trPr>
          <w:trHeight w:val="800" w:hRule="atLeast"/>
        </w:trPr>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409C16">
            <w:pPr>
              <w:textAlignment w:val="center"/>
              <w:rPr>
                <w:rFonts w:ascii="Times New Roman Regular" w:hAnsi="Times New Roman Regular" w:cs="Times New Roman Regular"/>
                <w:b w:val="0"/>
                <w:bCs w:val="0"/>
                <w:sz w:val="18"/>
                <w:szCs w:val="18"/>
              </w:rPr>
            </w:pPr>
            <w:r>
              <w:rPr>
                <w:rFonts w:ascii="Times New Roman Regular" w:hAnsi="Times New Roman Regular" w:cs="Times New Roman Regular"/>
                <w:b w:val="0"/>
                <w:bCs w:val="0"/>
                <w:sz w:val="18"/>
                <w:szCs w:val="18"/>
                <w:lang w:bidi="ar"/>
              </w:rPr>
              <w:t>11</w:t>
            </w: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E77FDB">
            <w:pPr>
              <w:rPr>
                <w:rFonts w:ascii="Times New Roman Regular" w:hAnsi="Times New Roman Regular" w:cs="Times New Roman Regular"/>
                <w:b w:val="0"/>
                <w:bCs w:val="0"/>
                <w:sz w:val="18"/>
                <w:szCs w:val="18"/>
              </w:rPr>
            </w:pPr>
          </w:p>
        </w:tc>
        <w:tc>
          <w:tcPr>
            <w:tcW w:w="20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F83DE0">
            <w:pPr>
              <w:jc w:val="left"/>
              <w:textAlignment w:val="center"/>
              <w:rPr>
                <w:rFonts w:ascii="Times New Roman Regular" w:hAnsi="Times New Roman Regular" w:cs="Times New Roman Regular"/>
                <w:b w:val="0"/>
                <w:bCs w:val="0"/>
                <w:sz w:val="18"/>
                <w:szCs w:val="18"/>
              </w:rPr>
            </w:pPr>
            <w:r>
              <w:rPr>
                <w:rFonts w:ascii="Times New Roman Regular" w:hAnsi="Times New Roman Regular" w:cs="Times New Roman Regular"/>
                <w:b w:val="0"/>
                <w:bCs w:val="0"/>
                <w:sz w:val="18"/>
                <w:szCs w:val="18"/>
                <w:lang w:bidi="ar"/>
              </w:rPr>
              <w:t>办赛过程中所必需的危险化学品、易燃易爆品、特种设备等存储使用管理不规范，安保措施充分</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BD3A22">
            <w:pPr>
              <w:rPr>
                <w:rFonts w:ascii="Times New Roman Regular" w:hAnsi="Times New Roman Regular" w:cs="Times New Roman Regular"/>
                <w:b w:val="0"/>
                <w:bCs w:val="0"/>
                <w:sz w:val="18"/>
                <w:szCs w:val="18"/>
              </w:rPr>
            </w:pPr>
          </w:p>
        </w:tc>
        <w:tc>
          <w:tcPr>
            <w:tcW w:w="4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86C91A">
            <w:pPr>
              <w:jc w:val="left"/>
              <w:textAlignment w:val="center"/>
              <w:rPr>
                <w:rFonts w:ascii="Times New Roman Regular" w:hAnsi="Times New Roman Regular" w:cs="Times New Roman Regular"/>
                <w:b w:val="0"/>
                <w:bCs w:val="0"/>
                <w:sz w:val="18"/>
                <w:szCs w:val="18"/>
              </w:rPr>
            </w:pPr>
            <w:r>
              <w:rPr>
                <w:rFonts w:ascii="Times New Roman Regular" w:hAnsi="Times New Roman Regular" w:cs="Times New Roman Regular"/>
                <w:b w:val="0"/>
                <w:bCs w:val="0"/>
                <w:sz w:val="18"/>
                <w:szCs w:val="18"/>
                <w:lang w:bidi="ar"/>
              </w:rPr>
              <w:t xml:space="preserve"> </w:t>
            </w: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14CAAD">
            <w:pPr>
              <w:jc w:val="left"/>
              <w:textAlignment w:val="center"/>
              <w:rPr>
                <w:rFonts w:ascii="Times New Roman Regular" w:hAnsi="Times New Roman Regular" w:cs="Times New Roman Regular"/>
                <w:b w:val="0"/>
                <w:bCs w:val="0"/>
                <w:sz w:val="18"/>
                <w:szCs w:val="18"/>
              </w:rPr>
            </w:pPr>
            <w:r>
              <w:rPr>
                <w:rFonts w:ascii="Times New Roman Regular" w:hAnsi="Times New Roman Regular" w:cs="Times New Roman Regular"/>
                <w:b w:val="0"/>
                <w:bCs w:val="0"/>
                <w:sz w:val="18"/>
                <w:szCs w:val="18"/>
                <w:lang w:bidi="ar"/>
              </w:rPr>
              <w:t>提供支撑材料</w:t>
            </w:r>
          </w:p>
        </w:tc>
      </w:tr>
      <w:tr w14:paraId="2E504639">
        <w:tblPrEx>
          <w:tblCellMar>
            <w:top w:w="0" w:type="dxa"/>
            <w:left w:w="108" w:type="dxa"/>
            <w:bottom w:w="0" w:type="dxa"/>
            <w:right w:w="108" w:type="dxa"/>
          </w:tblCellMar>
        </w:tblPrEx>
        <w:trPr>
          <w:trHeight w:val="800" w:hRule="atLeast"/>
        </w:trPr>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0F0197">
            <w:pPr>
              <w:textAlignment w:val="center"/>
              <w:rPr>
                <w:rFonts w:ascii="Times New Roman Regular" w:hAnsi="Times New Roman Regular" w:cs="Times New Roman Regular"/>
                <w:b w:val="0"/>
                <w:bCs w:val="0"/>
                <w:sz w:val="18"/>
                <w:szCs w:val="18"/>
              </w:rPr>
            </w:pPr>
            <w:r>
              <w:rPr>
                <w:rFonts w:ascii="Times New Roman Regular" w:hAnsi="Times New Roman Regular" w:cs="Times New Roman Regular"/>
                <w:b w:val="0"/>
                <w:bCs w:val="0"/>
                <w:sz w:val="18"/>
                <w:szCs w:val="18"/>
                <w:lang w:bidi="ar"/>
              </w:rPr>
              <w:t>12</w:t>
            </w: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7350C0">
            <w:pPr>
              <w:rPr>
                <w:rFonts w:ascii="Times New Roman Regular" w:hAnsi="Times New Roman Regular" w:cs="Times New Roman Regular"/>
                <w:b w:val="0"/>
                <w:bCs w:val="0"/>
                <w:sz w:val="18"/>
                <w:szCs w:val="18"/>
              </w:rPr>
            </w:pPr>
          </w:p>
        </w:tc>
        <w:tc>
          <w:tcPr>
            <w:tcW w:w="20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FC081D">
            <w:pPr>
              <w:jc w:val="left"/>
              <w:textAlignment w:val="center"/>
              <w:rPr>
                <w:rFonts w:ascii="Times New Roman Regular" w:hAnsi="Times New Roman Regular" w:cs="Times New Roman Regular"/>
                <w:b w:val="0"/>
                <w:bCs w:val="0"/>
                <w:sz w:val="18"/>
                <w:szCs w:val="18"/>
              </w:rPr>
            </w:pPr>
            <w:r>
              <w:rPr>
                <w:rFonts w:ascii="Times New Roman Regular" w:hAnsi="Times New Roman Regular" w:cs="Times New Roman Regular"/>
                <w:b w:val="0"/>
                <w:bCs w:val="0"/>
                <w:sz w:val="18"/>
                <w:szCs w:val="18"/>
                <w:lang w:bidi="ar"/>
              </w:rPr>
              <w:t>办赛过程中履行告知义务，对参赛年龄、身体条件、技术水平等特殊要求作出真实解释和明确警示(参赛指引 承诺书等）</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256B21">
            <w:pPr>
              <w:rPr>
                <w:rFonts w:ascii="Times New Roman Regular" w:hAnsi="Times New Roman Regular" w:cs="Times New Roman Regular"/>
                <w:b w:val="0"/>
                <w:bCs w:val="0"/>
                <w:sz w:val="18"/>
                <w:szCs w:val="18"/>
              </w:rPr>
            </w:pPr>
          </w:p>
        </w:tc>
        <w:tc>
          <w:tcPr>
            <w:tcW w:w="4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7E7490">
            <w:pPr>
              <w:jc w:val="left"/>
              <w:rPr>
                <w:rFonts w:ascii="Times New Roman Regular" w:hAnsi="Times New Roman Regular" w:cs="Times New Roman Regular"/>
                <w:b w:val="0"/>
                <w:bCs w:val="0"/>
                <w:sz w:val="18"/>
                <w:szCs w:val="18"/>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7CC173">
            <w:pPr>
              <w:jc w:val="left"/>
              <w:textAlignment w:val="center"/>
              <w:rPr>
                <w:rFonts w:ascii="Times New Roman Regular" w:hAnsi="Times New Roman Regular" w:cs="Times New Roman Regular"/>
                <w:b w:val="0"/>
                <w:bCs w:val="0"/>
                <w:sz w:val="18"/>
                <w:szCs w:val="18"/>
              </w:rPr>
            </w:pPr>
            <w:r>
              <w:rPr>
                <w:rFonts w:ascii="Times New Roman Regular" w:hAnsi="Times New Roman Regular" w:cs="Times New Roman Regular"/>
                <w:b w:val="0"/>
                <w:bCs w:val="0"/>
                <w:sz w:val="18"/>
                <w:szCs w:val="18"/>
                <w:lang w:bidi="ar"/>
              </w:rPr>
              <w:t>提供支撑材料</w:t>
            </w:r>
          </w:p>
        </w:tc>
      </w:tr>
      <w:tr w14:paraId="26BD6F49">
        <w:tblPrEx>
          <w:tblCellMar>
            <w:top w:w="0" w:type="dxa"/>
            <w:left w:w="108" w:type="dxa"/>
            <w:bottom w:w="0" w:type="dxa"/>
            <w:right w:w="108" w:type="dxa"/>
          </w:tblCellMar>
        </w:tblPrEx>
        <w:trPr>
          <w:trHeight w:val="840" w:hRule="atLeast"/>
        </w:trPr>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5F53DC">
            <w:pPr>
              <w:textAlignment w:val="center"/>
              <w:rPr>
                <w:rFonts w:ascii="Times New Roman Regular" w:hAnsi="Times New Roman Regular" w:cs="Times New Roman Regular"/>
                <w:b w:val="0"/>
                <w:bCs w:val="0"/>
                <w:sz w:val="18"/>
                <w:szCs w:val="18"/>
              </w:rPr>
            </w:pPr>
            <w:r>
              <w:rPr>
                <w:rFonts w:ascii="Times New Roman Regular" w:hAnsi="Times New Roman Regular" w:cs="Times New Roman Regular"/>
                <w:b w:val="0"/>
                <w:bCs w:val="0"/>
                <w:sz w:val="18"/>
                <w:szCs w:val="18"/>
                <w:lang w:bidi="ar"/>
              </w:rPr>
              <w:t>13</w:t>
            </w: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7FDD37">
            <w:pPr>
              <w:rPr>
                <w:rFonts w:ascii="Times New Roman Regular" w:hAnsi="Times New Roman Regular" w:cs="Times New Roman Regular"/>
                <w:b w:val="0"/>
                <w:bCs w:val="0"/>
                <w:sz w:val="18"/>
                <w:szCs w:val="18"/>
              </w:rPr>
            </w:pPr>
          </w:p>
        </w:tc>
        <w:tc>
          <w:tcPr>
            <w:tcW w:w="2092" w:type="pct"/>
            <w:tcBorders>
              <w:top w:val="single" w:color="000000" w:sz="4" w:space="0"/>
              <w:left w:val="nil"/>
              <w:bottom w:val="single" w:color="000000" w:sz="4" w:space="0"/>
              <w:right w:val="single" w:color="000000" w:sz="4" w:space="0"/>
            </w:tcBorders>
            <w:shd w:val="clear" w:color="auto" w:fill="auto"/>
            <w:vAlign w:val="center"/>
          </w:tcPr>
          <w:p w14:paraId="0B6F9AA3">
            <w:pPr>
              <w:jc w:val="left"/>
              <w:textAlignment w:val="center"/>
              <w:rPr>
                <w:rFonts w:ascii="Times New Roman Regular" w:hAnsi="Times New Roman Regular" w:cs="Times New Roman Regular"/>
                <w:b w:val="0"/>
                <w:bCs w:val="0"/>
                <w:sz w:val="18"/>
                <w:szCs w:val="18"/>
              </w:rPr>
            </w:pPr>
            <w:r>
              <w:rPr>
                <w:rFonts w:ascii="Times New Roman Regular" w:hAnsi="Times New Roman Regular" w:cs="Times New Roman Regular"/>
                <w:b w:val="0"/>
                <w:bCs w:val="0"/>
                <w:sz w:val="18"/>
                <w:szCs w:val="18"/>
                <w:lang w:bidi="ar"/>
              </w:rPr>
              <w:t>对赛事活动中要求配备必要数量且符合规定的安全救助人员</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3348CD">
            <w:pPr>
              <w:rPr>
                <w:rFonts w:ascii="Times New Roman Regular" w:hAnsi="Times New Roman Regular" w:cs="Times New Roman Regular"/>
                <w:b w:val="0"/>
                <w:bCs w:val="0"/>
                <w:sz w:val="18"/>
                <w:szCs w:val="18"/>
              </w:rPr>
            </w:pPr>
          </w:p>
        </w:tc>
        <w:tc>
          <w:tcPr>
            <w:tcW w:w="4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44B854">
            <w:pPr>
              <w:jc w:val="left"/>
              <w:rPr>
                <w:rFonts w:ascii="Times New Roman Regular" w:hAnsi="Times New Roman Regular" w:cs="Times New Roman Regular"/>
                <w:b w:val="0"/>
                <w:bCs w:val="0"/>
                <w:sz w:val="18"/>
                <w:szCs w:val="18"/>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82B50A">
            <w:pPr>
              <w:jc w:val="left"/>
              <w:textAlignment w:val="center"/>
              <w:rPr>
                <w:rFonts w:ascii="Times New Roman Regular" w:hAnsi="Times New Roman Regular" w:cs="Times New Roman Regular"/>
                <w:b w:val="0"/>
                <w:bCs w:val="0"/>
                <w:sz w:val="18"/>
                <w:szCs w:val="18"/>
              </w:rPr>
            </w:pPr>
            <w:r>
              <w:rPr>
                <w:rFonts w:ascii="Times New Roman Regular" w:hAnsi="Times New Roman Regular" w:cs="Times New Roman Regular"/>
                <w:b w:val="0"/>
                <w:bCs w:val="0"/>
                <w:sz w:val="18"/>
                <w:szCs w:val="18"/>
                <w:lang w:bidi="ar"/>
              </w:rPr>
              <w:t>提供支撑材料</w:t>
            </w:r>
          </w:p>
        </w:tc>
      </w:tr>
      <w:tr w14:paraId="19130E29">
        <w:tblPrEx>
          <w:tblCellMar>
            <w:top w:w="0" w:type="dxa"/>
            <w:left w:w="108" w:type="dxa"/>
            <w:bottom w:w="0" w:type="dxa"/>
            <w:right w:w="108" w:type="dxa"/>
          </w:tblCellMar>
        </w:tblPrEx>
        <w:trPr>
          <w:trHeight w:val="1020" w:hRule="atLeast"/>
        </w:trPr>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545944">
            <w:pPr>
              <w:textAlignment w:val="center"/>
              <w:rPr>
                <w:rFonts w:ascii="Times New Roman Regular" w:hAnsi="Times New Roman Regular" w:cs="Times New Roman Regular"/>
                <w:b w:val="0"/>
                <w:bCs w:val="0"/>
                <w:sz w:val="18"/>
                <w:szCs w:val="18"/>
              </w:rPr>
            </w:pPr>
            <w:r>
              <w:rPr>
                <w:rFonts w:ascii="Times New Roman Regular" w:hAnsi="Times New Roman Regular" w:cs="Times New Roman Regular"/>
                <w:b w:val="0"/>
                <w:bCs w:val="0"/>
                <w:sz w:val="18"/>
                <w:szCs w:val="18"/>
                <w:lang w:bidi="ar"/>
              </w:rPr>
              <w:t>14</w:t>
            </w:r>
          </w:p>
        </w:tc>
        <w:tc>
          <w:tcPr>
            <w:tcW w:w="759" w:type="pct"/>
            <w:vMerge w:val="restart"/>
            <w:tcBorders>
              <w:top w:val="nil"/>
              <w:left w:val="nil"/>
              <w:bottom w:val="single" w:color="000000" w:sz="4" w:space="0"/>
              <w:right w:val="nil"/>
            </w:tcBorders>
            <w:shd w:val="clear" w:color="auto" w:fill="auto"/>
            <w:vAlign w:val="center"/>
          </w:tcPr>
          <w:p w14:paraId="08F20F5B">
            <w:pPr>
              <w:textAlignment w:val="center"/>
              <w:rPr>
                <w:rFonts w:ascii="Times New Roman Regular" w:hAnsi="Times New Roman Regular" w:cs="Times New Roman Regular"/>
                <w:b w:val="0"/>
                <w:bCs w:val="0"/>
                <w:sz w:val="18"/>
                <w:szCs w:val="18"/>
              </w:rPr>
            </w:pPr>
            <w:r>
              <w:rPr>
                <w:rFonts w:ascii="Times New Roman Regular" w:hAnsi="Times New Roman Regular" w:cs="Times New Roman Regular"/>
                <w:b w:val="0"/>
                <w:bCs w:val="0"/>
                <w:sz w:val="18"/>
                <w:szCs w:val="18"/>
                <w:lang w:bidi="ar"/>
              </w:rPr>
              <w:t>赛事承办方式</w:t>
            </w:r>
          </w:p>
        </w:tc>
        <w:tc>
          <w:tcPr>
            <w:tcW w:w="20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758A4D">
            <w:pPr>
              <w:jc w:val="left"/>
              <w:textAlignment w:val="center"/>
              <w:rPr>
                <w:rFonts w:ascii="Times New Roman Regular" w:hAnsi="Times New Roman Regular" w:cs="Times New Roman Regular"/>
                <w:b w:val="0"/>
                <w:bCs w:val="0"/>
                <w:sz w:val="18"/>
                <w:szCs w:val="18"/>
              </w:rPr>
            </w:pPr>
            <w:r>
              <w:rPr>
                <w:rFonts w:ascii="Times New Roman Regular" w:hAnsi="Times New Roman Regular" w:cs="Times New Roman Regular"/>
                <w:b w:val="0"/>
                <w:bCs w:val="0"/>
                <w:sz w:val="18"/>
                <w:szCs w:val="18"/>
                <w:lang w:bidi="ar"/>
              </w:rPr>
              <w:t>赛事筹办过程中是否存在层层转包</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9194E0">
            <w:pPr>
              <w:rPr>
                <w:rFonts w:ascii="Times New Roman Regular" w:hAnsi="Times New Roman Regular" w:cs="Times New Roman Regular"/>
                <w:b w:val="0"/>
                <w:bCs w:val="0"/>
                <w:sz w:val="18"/>
                <w:szCs w:val="18"/>
              </w:rPr>
            </w:pPr>
          </w:p>
        </w:tc>
        <w:tc>
          <w:tcPr>
            <w:tcW w:w="4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1AC9E9">
            <w:pPr>
              <w:jc w:val="left"/>
              <w:rPr>
                <w:rFonts w:ascii="Times New Roman Regular" w:hAnsi="Times New Roman Regular" w:cs="Times New Roman Regular"/>
                <w:b w:val="0"/>
                <w:bCs w:val="0"/>
                <w:sz w:val="18"/>
                <w:szCs w:val="18"/>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9C44D7">
            <w:pPr>
              <w:jc w:val="left"/>
              <w:textAlignment w:val="center"/>
              <w:rPr>
                <w:rFonts w:ascii="Times New Roman Regular" w:hAnsi="Times New Roman Regular" w:cs="Times New Roman Regular"/>
                <w:b w:val="0"/>
                <w:bCs w:val="0"/>
                <w:sz w:val="18"/>
                <w:szCs w:val="18"/>
              </w:rPr>
            </w:pPr>
            <w:r>
              <w:rPr>
                <w:rFonts w:ascii="Times New Roman Regular" w:hAnsi="Times New Roman Regular" w:cs="Times New Roman Regular"/>
                <w:b w:val="0"/>
                <w:bCs w:val="0"/>
                <w:sz w:val="18"/>
                <w:szCs w:val="18"/>
                <w:lang w:bidi="ar"/>
              </w:rPr>
              <w:t>提供购买服务合同。实际服务方是否与合同一致。</w:t>
            </w:r>
          </w:p>
        </w:tc>
      </w:tr>
      <w:tr w14:paraId="64AD2C6F">
        <w:tblPrEx>
          <w:tblCellMar>
            <w:top w:w="0" w:type="dxa"/>
            <w:left w:w="108" w:type="dxa"/>
            <w:bottom w:w="0" w:type="dxa"/>
            <w:right w:w="108" w:type="dxa"/>
          </w:tblCellMar>
        </w:tblPrEx>
        <w:trPr>
          <w:trHeight w:val="800" w:hRule="atLeast"/>
        </w:trPr>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DFA46D">
            <w:pPr>
              <w:textAlignment w:val="center"/>
              <w:rPr>
                <w:rFonts w:ascii="Times New Roman Regular" w:hAnsi="Times New Roman Regular" w:cs="Times New Roman Regular"/>
                <w:b w:val="0"/>
                <w:bCs w:val="0"/>
                <w:sz w:val="18"/>
                <w:szCs w:val="18"/>
              </w:rPr>
            </w:pPr>
            <w:r>
              <w:rPr>
                <w:rFonts w:ascii="Times New Roman Regular" w:hAnsi="Times New Roman Regular" w:cs="Times New Roman Regular"/>
                <w:b w:val="0"/>
                <w:bCs w:val="0"/>
                <w:sz w:val="18"/>
                <w:szCs w:val="18"/>
                <w:lang w:bidi="ar"/>
              </w:rPr>
              <w:t>15</w:t>
            </w:r>
          </w:p>
        </w:tc>
        <w:tc>
          <w:tcPr>
            <w:tcW w:w="759" w:type="pct"/>
            <w:vMerge w:val="continue"/>
            <w:tcBorders>
              <w:top w:val="nil"/>
              <w:left w:val="nil"/>
              <w:bottom w:val="single" w:color="000000" w:sz="4" w:space="0"/>
              <w:right w:val="nil"/>
            </w:tcBorders>
            <w:shd w:val="clear" w:color="auto" w:fill="auto"/>
            <w:vAlign w:val="center"/>
          </w:tcPr>
          <w:p w14:paraId="752DC087">
            <w:pPr>
              <w:rPr>
                <w:rFonts w:ascii="Times New Roman Regular" w:hAnsi="Times New Roman Regular" w:cs="Times New Roman Regular"/>
                <w:b w:val="0"/>
                <w:bCs w:val="0"/>
                <w:sz w:val="18"/>
                <w:szCs w:val="18"/>
              </w:rPr>
            </w:pPr>
          </w:p>
        </w:tc>
        <w:tc>
          <w:tcPr>
            <w:tcW w:w="20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27023B">
            <w:pPr>
              <w:jc w:val="left"/>
              <w:textAlignment w:val="center"/>
              <w:rPr>
                <w:rFonts w:ascii="Times New Roman Regular" w:hAnsi="Times New Roman Regular" w:cs="Times New Roman Regular"/>
                <w:b w:val="0"/>
                <w:bCs w:val="0"/>
                <w:sz w:val="18"/>
                <w:szCs w:val="18"/>
              </w:rPr>
            </w:pPr>
            <w:r>
              <w:rPr>
                <w:rFonts w:ascii="Times New Roman Regular" w:hAnsi="Times New Roman Regular" w:cs="Times New Roman Regular"/>
                <w:b w:val="0"/>
                <w:bCs w:val="0"/>
                <w:sz w:val="18"/>
                <w:szCs w:val="18"/>
                <w:lang w:bidi="ar"/>
              </w:rPr>
              <w:t>赛事筹办过程中是否大量使用无相关专业资质或工作经验的人员（临场裁判等级、记录台人员、安保应急人员等）</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E66CA4">
            <w:pPr>
              <w:rPr>
                <w:rFonts w:ascii="Times New Roman Regular" w:hAnsi="Times New Roman Regular" w:cs="Times New Roman Regular"/>
                <w:b w:val="0"/>
                <w:bCs w:val="0"/>
                <w:sz w:val="18"/>
                <w:szCs w:val="18"/>
              </w:rPr>
            </w:pPr>
          </w:p>
        </w:tc>
        <w:tc>
          <w:tcPr>
            <w:tcW w:w="4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04F921">
            <w:pPr>
              <w:jc w:val="left"/>
              <w:rPr>
                <w:rFonts w:ascii="Times New Roman Regular" w:hAnsi="Times New Roman Regular" w:cs="Times New Roman Regular"/>
                <w:b w:val="0"/>
                <w:bCs w:val="0"/>
                <w:sz w:val="18"/>
                <w:szCs w:val="18"/>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2F9208">
            <w:pPr>
              <w:jc w:val="left"/>
              <w:textAlignment w:val="center"/>
              <w:rPr>
                <w:rFonts w:ascii="Times New Roman Regular" w:hAnsi="Times New Roman Regular" w:cs="Times New Roman Regular"/>
                <w:b w:val="0"/>
                <w:bCs w:val="0"/>
                <w:sz w:val="18"/>
                <w:szCs w:val="18"/>
              </w:rPr>
            </w:pPr>
            <w:r>
              <w:rPr>
                <w:rFonts w:ascii="Times New Roman Regular" w:hAnsi="Times New Roman Regular" w:cs="Times New Roman Regular"/>
                <w:b w:val="0"/>
                <w:bCs w:val="0"/>
                <w:sz w:val="18"/>
                <w:szCs w:val="18"/>
                <w:lang w:bidi="ar"/>
              </w:rPr>
              <w:t>提供人员构成材料</w:t>
            </w:r>
          </w:p>
        </w:tc>
      </w:tr>
      <w:tr w14:paraId="02751B03">
        <w:tblPrEx>
          <w:tblCellMar>
            <w:top w:w="0" w:type="dxa"/>
            <w:left w:w="108" w:type="dxa"/>
            <w:bottom w:w="0" w:type="dxa"/>
            <w:right w:w="108" w:type="dxa"/>
          </w:tblCellMar>
        </w:tblPrEx>
        <w:trPr>
          <w:trHeight w:val="800" w:hRule="atLeast"/>
        </w:trPr>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822D57">
            <w:pPr>
              <w:textAlignment w:val="center"/>
              <w:rPr>
                <w:rFonts w:ascii="Times New Roman Regular" w:hAnsi="Times New Roman Regular" w:cs="Times New Roman Regular"/>
                <w:b w:val="0"/>
                <w:bCs w:val="0"/>
                <w:sz w:val="18"/>
                <w:szCs w:val="18"/>
                <w:lang w:bidi="ar"/>
              </w:rPr>
            </w:pPr>
          </w:p>
        </w:tc>
        <w:tc>
          <w:tcPr>
            <w:tcW w:w="759" w:type="pct"/>
            <w:vMerge w:val="continue"/>
            <w:tcBorders>
              <w:top w:val="nil"/>
              <w:left w:val="nil"/>
              <w:bottom w:val="single" w:color="000000" w:sz="4" w:space="0"/>
              <w:right w:val="nil"/>
            </w:tcBorders>
            <w:shd w:val="clear" w:color="auto" w:fill="auto"/>
            <w:vAlign w:val="center"/>
          </w:tcPr>
          <w:p w14:paraId="6C9C47CA">
            <w:pPr>
              <w:rPr>
                <w:rFonts w:ascii="Times New Roman Regular" w:hAnsi="Times New Roman Regular" w:cs="Times New Roman Regular"/>
                <w:b w:val="0"/>
                <w:bCs w:val="0"/>
                <w:sz w:val="18"/>
                <w:szCs w:val="18"/>
              </w:rPr>
            </w:pPr>
          </w:p>
        </w:tc>
        <w:tc>
          <w:tcPr>
            <w:tcW w:w="20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B1A8F1">
            <w:pPr>
              <w:jc w:val="left"/>
              <w:textAlignment w:val="center"/>
              <w:rPr>
                <w:rFonts w:ascii="Times New Roman Regular" w:hAnsi="Times New Roman Regular" w:cs="Times New Roman Regular"/>
                <w:b w:val="0"/>
                <w:bCs w:val="0"/>
                <w:sz w:val="18"/>
                <w:szCs w:val="18"/>
                <w:lang w:bidi="ar"/>
              </w:rPr>
            </w:pPr>
            <w:r>
              <w:rPr>
                <w:rFonts w:hint="eastAsia" w:ascii="Times New Roman Regular" w:hAnsi="Times New Roman Regular" w:cs="Times New Roman Regular"/>
                <w:b w:val="0"/>
                <w:bCs w:val="0"/>
                <w:sz w:val="18"/>
                <w:szCs w:val="18"/>
                <w:lang w:bidi="ar"/>
              </w:rPr>
              <w:t>办赛过程中，履行告知义务，对参赛年龄、身体条件、技术水平等特殊要求，作出真实解释和明确警示，有无承诺书保证书</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77AD37">
            <w:pPr>
              <w:rPr>
                <w:rFonts w:ascii="Times New Roman Regular" w:hAnsi="Times New Roman Regular" w:cs="Times New Roman Regular"/>
                <w:b w:val="0"/>
                <w:bCs w:val="0"/>
                <w:sz w:val="18"/>
                <w:szCs w:val="18"/>
              </w:rPr>
            </w:pPr>
          </w:p>
        </w:tc>
        <w:tc>
          <w:tcPr>
            <w:tcW w:w="4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BB0EDC">
            <w:pPr>
              <w:jc w:val="left"/>
              <w:rPr>
                <w:rFonts w:ascii="Times New Roman Regular" w:hAnsi="Times New Roman Regular" w:cs="Times New Roman Regular"/>
                <w:b w:val="0"/>
                <w:bCs w:val="0"/>
                <w:sz w:val="18"/>
                <w:szCs w:val="18"/>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693245">
            <w:pPr>
              <w:jc w:val="left"/>
              <w:textAlignment w:val="center"/>
              <w:rPr>
                <w:rFonts w:ascii="Times New Roman Regular" w:hAnsi="Times New Roman Regular" w:cs="Times New Roman Regular"/>
                <w:b w:val="0"/>
                <w:bCs w:val="0"/>
                <w:sz w:val="18"/>
                <w:szCs w:val="18"/>
                <w:lang w:bidi="ar"/>
              </w:rPr>
            </w:pPr>
            <w:r>
              <w:rPr>
                <w:rFonts w:ascii="Times New Roman Regular" w:hAnsi="Times New Roman Regular" w:cs="Times New Roman Regular"/>
                <w:b w:val="0"/>
                <w:bCs w:val="0"/>
                <w:sz w:val="18"/>
                <w:szCs w:val="18"/>
                <w:lang w:bidi="ar"/>
              </w:rPr>
              <w:t>提供材料</w:t>
            </w:r>
          </w:p>
        </w:tc>
      </w:tr>
      <w:tr w14:paraId="5D30CA22">
        <w:tblPrEx>
          <w:tblCellMar>
            <w:top w:w="0" w:type="dxa"/>
            <w:left w:w="108" w:type="dxa"/>
            <w:bottom w:w="0" w:type="dxa"/>
            <w:right w:w="108" w:type="dxa"/>
          </w:tblCellMar>
        </w:tblPrEx>
        <w:trPr>
          <w:trHeight w:val="820" w:hRule="atLeast"/>
        </w:trPr>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70D2AB">
            <w:pPr>
              <w:textAlignment w:val="center"/>
              <w:rPr>
                <w:rFonts w:ascii="Times New Roman Regular" w:hAnsi="Times New Roman Regular" w:cs="Times New Roman Regular"/>
                <w:b w:val="0"/>
                <w:bCs w:val="0"/>
                <w:sz w:val="18"/>
                <w:szCs w:val="18"/>
              </w:rPr>
            </w:pPr>
            <w:r>
              <w:rPr>
                <w:rFonts w:ascii="Times New Roman Regular" w:hAnsi="Times New Roman Regular" w:cs="Times New Roman Regular"/>
                <w:b w:val="0"/>
                <w:bCs w:val="0"/>
                <w:sz w:val="18"/>
                <w:szCs w:val="18"/>
                <w:lang w:bidi="ar"/>
              </w:rPr>
              <w:t>16</w:t>
            </w:r>
          </w:p>
        </w:tc>
        <w:tc>
          <w:tcPr>
            <w:tcW w:w="759" w:type="pct"/>
            <w:vMerge w:val="continue"/>
            <w:tcBorders>
              <w:top w:val="nil"/>
              <w:left w:val="nil"/>
              <w:bottom w:val="single" w:color="000000" w:sz="4" w:space="0"/>
              <w:right w:val="nil"/>
            </w:tcBorders>
            <w:shd w:val="clear" w:color="auto" w:fill="auto"/>
            <w:vAlign w:val="center"/>
          </w:tcPr>
          <w:p w14:paraId="76AB76D0">
            <w:pPr>
              <w:rPr>
                <w:rFonts w:ascii="Times New Roman Regular" w:hAnsi="Times New Roman Regular" w:cs="Times New Roman Regular"/>
                <w:b w:val="0"/>
                <w:bCs w:val="0"/>
                <w:sz w:val="18"/>
                <w:szCs w:val="18"/>
              </w:rPr>
            </w:pPr>
          </w:p>
        </w:tc>
        <w:tc>
          <w:tcPr>
            <w:tcW w:w="20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CB192E">
            <w:pPr>
              <w:jc w:val="left"/>
              <w:textAlignment w:val="center"/>
              <w:rPr>
                <w:rFonts w:ascii="Times New Roman Regular" w:hAnsi="Times New Roman Regular" w:cs="Times New Roman Regular"/>
                <w:b w:val="0"/>
                <w:bCs w:val="0"/>
                <w:sz w:val="18"/>
                <w:szCs w:val="18"/>
              </w:rPr>
            </w:pPr>
            <w:r>
              <w:rPr>
                <w:rFonts w:ascii="Times New Roman Regular" w:hAnsi="Times New Roman Regular" w:cs="Times New Roman Regular"/>
                <w:b w:val="0"/>
                <w:bCs w:val="0"/>
                <w:sz w:val="18"/>
                <w:szCs w:val="18"/>
                <w:lang w:bidi="ar"/>
              </w:rPr>
              <w:t>以多种业态综合或模式创新等形式</w:t>
            </w:r>
            <w:r>
              <w:rPr>
                <w:rFonts w:hint="eastAsia" w:ascii="Times New Roman Regular" w:hAnsi="Times New Roman Regular" w:cs="Times New Roman Regular"/>
                <w:b w:val="0"/>
                <w:bCs w:val="0"/>
                <w:sz w:val="18"/>
                <w:szCs w:val="18"/>
                <w:lang w:bidi="ar"/>
              </w:rPr>
              <w:t>，</w:t>
            </w:r>
            <w:r>
              <w:rPr>
                <w:rFonts w:ascii="Times New Roman Regular" w:hAnsi="Times New Roman Regular" w:cs="Times New Roman Regular"/>
                <w:b w:val="0"/>
                <w:bCs w:val="0"/>
                <w:sz w:val="18"/>
                <w:szCs w:val="18"/>
                <w:lang w:bidi="ar"/>
              </w:rPr>
              <w:t>开展相关赛事活动</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7CC486">
            <w:pPr>
              <w:rPr>
                <w:rFonts w:ascii="Times New Roman Regular" w:hAnsi="Times New Roman Regular" w:cs="Times New Roman Regular"/>
                <w:b w:val="0"/>
                <w:bCs w:val="0"/>
                <w:sz w:val="18"/>
                <w:szCs w:val="18"/>
              </w:rPr>
            </w:pPr>
          </w:p>
        </w:tc>
        <w:tc>
          <w:tcPr>
            <w:tcW w:w="4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A55837">
            <w:pPr>
              <w:jc w:val="left"/>
              <w:rPr>
                <w:rFonts w:ascii="Times New Roman Regular" w:hAnsi="Times New Roman Regular" w:cs="Times New Roman Regular"/>
                <w:b w:val="0"/>
                <w:bCs w:val="0"/>
                <w:sz w:val="18"/>
                <w:szCs w:val="18"/>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36CF88">
            <w:pPr>
              <w:jc w:val="left"/>
              <w:textAlignment w:val="center"/>
              <w:rPr>
                <w:rFonts w:ascii="Times New Roman Regular" w:hAnsi="Times New Roman Regular" w:cs="Times New Roman Regular"/>
                <w:b w:val="0"/>
                <w:bCs w:val="0"/>
                <w:sz w:val="18"/>
                <w:szCs w:val="18"/>
              </w:rPr>
            </w:pPr>
            <w:r>
              <w:rPr>
                <w:rFonts w:ascii="Times New Roman Regular" w:hAnsi="Times New Roman Regular" w:cs="Times New Roman Regular"/>
                <w:b w:val="0"/>
                <w:bCs w:val="0"/>
                <w:sz w:val="18"/>
                <w:szCs w:val="18"/>
                <w:lang w:bidi="ar"/>
              </w:rPr>
              <w:t>提供材料</w:t>
            </w:r>
          </w:p>
        </w:tc>
      </w:tr>
      <w:tr w14:paraId="561AB38D">
        <w:tblPrEx>
          <w:tblCellMar>
            <w:top w:w="0" w:type="dxa"/>
            <w:left w:w="108" w:type="dxa"/>
            <w:bottom w:w="0" w:type="dxa"/>
            <w:right w:w="108" w:type="dxa"/>
          </w:tblCellMar>
        </w:tblPrEx>
        <w:trPr>
          <w:trHeight w:val="800" w:hRule="atLeast"/>
        </w:trPr>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24711B">
            <w:pPr>
              <w:textAlignment w:val="center"/>
              <w:rPr>
                <w:rFonts w:ascii="Times New Roman Regular" w:hAnsi="Times New Roman Regular" w:cs="Times New Roman Regular"/>
                <w:b w:val="0"/>
                <w:bCs w:val="0"/>
                <w:sz w:val="18"/>
                <w:szCs w:val="18"/>
              </w:rPr>
            </w:pPr>
            <w:r>
              <w:rPr>
                <w:rFonts w:ascii="Times New Roman Regular" w:hAnsi="Times New Roman Regular" w:cs="Times New Roman Regular"/>
                <w:b w:val="0"/>
                <w:bCs w:val="0"/>
                <w:sz w:val="18"/>
                <w:szCs w:val="18"/>
                <w:lang w:bidi="ar"/>
              </w:rPr>
              <w:t>17</w:t>
            </w:r>
          </w:p>
        </w:tc>
        <w:tc>
          <w:tcPr>
            <w:tcW w:w="759"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FAC7C">
            <w:pPr>
              <w:textAlignment w:val="center"/>
              <w:rPr>
                <w:rFonts w:ascii="Times New Roman Regular" w:hAnsi="Times New Roman Regular" w:cs="Times New Roman Regular"/>
                <w:b w:val="0"/>
                <w:bCs w:val="0"/>
                <w:sz w:val="18"/>
                <w:szCs w:val="18"/>
              </w:rPr>
            </w:pPr>
            <w:r>
              <w:rPr>
                <w:rFonts w:ascii="Times New Roman Regular" w:hAnsi="Times New Roman Regular" w:cs="Times New Roman Regular"/>
                <w:b w:val="0"/>
                <w:bCs w:val="0"/>
                <w:sz w:val="18"/>
                <w:szCs w:val="18"/>
                <w:lang w:bidi="ar"/>
              </w:rPr>
              <w:t>场地设施</w:t>
            </w:r>
          </w:p>
        </w:tc>
        <w:tc>
          <w:tcPr>
            <w:tcW w:w="20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9E086">
            <w:pPr>
              <w:jc w:val="left"/>
              <w:textAlignment w:val="center"/>
              <w:rPr>
                <w:rFonts w:ascii="Times New Roman Regular" w:hAnsi="Times New Roman Regular" w:cs="Times New Roman Regular"/>
                <w:b w:val="0"/>
                <w:bCs w:val="0"/>
                <w:sz w:val="18"/>
                <w:szCs w:val="18"/>
              </w:rPr>
            </w:pPr>
            <w:r>
              <w:rPr>
                <w:rFonts w:ascii="Times New Roman Regular" w:hAnsi="Times New Roman Regular" w:cs="Times New Roman Regular"/>
                <w:b w:val="0"/>
                <w:bCs w:val="0"/>
                <w:sz w:val="18"/>
                <w:szCs w:val="18"/>
                <w:lang w:bidi="ar"/>
              </w:rPr>
              <w:t>赛事活动场馆场所基础设施验收合格</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86E04B">
            <w:pPr>
              <w:rPr>
                <w:rFonts w:ascii="Times New Roman Regular" w:hAnsi="Times New Roman Regular" w:cs="Times New Roman Regular"/>
                <w:b w:val="0"/>
                <w:bCs w:val="0"/>
                <w:sz w:val="18"/>
                <w:szCs w:val="18"/>
              </w:rPr>
            </w:pPr>
          </w:p>
        </w:tc>
        <w:tc>
          <w:tcPr>
            <w:tcW w:w="4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1C1C92">
            <w:pPr>
              <w:jc w:val="left"/>
              <w:rPr>
                <w:rFonts w:ascii="Times New Roman Regular" w:hAnsi="Times New Roman Regular" w:cs="Times New Roman Regular"/>
                <w:b w:val="0"/>
                <w:bCs w:val="0"/>
                <w:sz w:val="18"/>
                <w:szCs w:val="18"/>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3F8A42">
            <w:pPr>
              <w:jc w:val="left"/>
              <w:textAlignment w:val="center"/>
              <w:rPr>
                <w:rFonts w:ascii="Times New Roman Regular" w:hAnsi="Times New Roman Regular" w:cs="Times New Roman Regular"/>
                <w:b w:val="0"/>
                <w:bCs w:val="0"/>
                <w:sz w:val="18"/>
                <w:szCs w:val="18"/>
              </w:rPr>
            </w:pPr>
            <w:r>
              <w:rPr>
                <w:rFonts w:ascii="Times New Roman Regular" w:hAnsi="Times New Roman Regular" w:cs="Times New Roman Regular"/>
                <w:b w:val="0"/>
                <w:bCs w:val="0"/>
                <w:sz w:val="18"/>
                <w:szCs w:val="18"/>
                <w:lang w:bidi="ar"/>
              </w:rPr>
              <w:t>提供材料</w:t>
            </w:r>
          </w:p>
        </w:tc>
      </w:tr>
      <w:tr w14:paraId="032D10BB">
        <w:tblPrEx>
          <w:tblCellMar>
            <w:top w:w="0" w:type="dxa"/>
            <w:left w:w="108" w:type="dxa"/>
            <w:bottom w:w="0" w:type="dxa"/>
            <w:right w:w="108" w:type="dxa"/>
          </w:tblCellMar>
        </w:tblPrEx>
        <w:trPr>
          <w:trHeight w:val="800" w:hRule="atLeast"/>
        </w:trPr>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503F1B">
            <w:pPr>
              <w:textAlignment w:val="center"/>
              <w:rPr>
                <w:rFonts w:ascii="Times New Roman Regular" w:hAnsi="Times New Roman Regular" w:cs="Times New Roman Regular"/>
                <w:b w:val="0"/>
                <w:bCs w:val="0"/>
                <w:sz w:val="18"/>
                <w:szCs w:val="18"/>
              </w:rPr>
            </w:pPr>
            <w:r>
              <w:rPr>
                <w:rFonts w:ascii="Times New Roman Regular" w:hAnsi="Times New Roman Regular" w:cs="Times New Roman Regular"/>
                <w:b w:val="0"/>
                <w:bCs w:val="0"/>
                <w:sz w:val="18"/>
                <w:szCs w:val="18"/>
                <w:lang w:bidi="ar"/>
              </w:rPr>
              <w:t>18</w:t>
            </w: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42EBF1">
            <w:pPr>
              <w:rPr>
                <w:rFonts w:ascii="Times New Roman Regular" w:hAnsi="Times New Roman Regular" w:cs="Times New Roman Regular"/>
                <w:b w:val="0"/>
                <w:bCs w:val="0"/>
                <w:sz w:val="18"/>
                <w:szCs w:val="18"/>
              </w:rPr>
            </w:pPr>
          </w:p>
        </w:tc>
        <w:tc>
          <w:tcPr>
            <w:tcW w:w="20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FA59E">
            <w:pPr>
              <w:jc w:val="left"/>
              <w:textAlignment w:val="center"/>
              <w:rPr>
                <w:rFonts w:ascii="Times New Roman Regular" w:hAnsi="Times New Roman Regular" w:cs="Times New Roman Regular"/>
                <w:b w:val="0"/>
                <w:bCs w:val="0"/>
                <w:sz w:val="18"/>
                <w:szCs w:val="18"/>
                <w:lang w:bidi="ar"/>
              </w:rPr>
            </w:pPr>
            <w:r>
              <w:rPr>
                <w:rFonts w:ascii="Times New Roman Regular" w:hAnsi="Times New Roman Regular" w:cs="Times New Roman Regular"/>
                <w:b w:val="0"/>
                <w:bCs w:val="0"/>
                <w:sz w:val="18"/>
                <w:szCs w:val="18"/>
                <w:lang w:bidi="ar"/>
              </w:rPr>
              <w:t>针对赛事活动特点查验场所通道容载率且动线安排合理</w:t>
            </w:r>
            <w:r>
              <w:rPr>
                <w:rFonts w:hint="eastAsia" w:ascii="Times New Roman Regular" w:hAnsi="Times New Roman Regular" w:cs="Times New Roman Regular"/>
                <w:b w:val="0"/>
                <w:bCs w:val="0"/>
                <w:sz w:val="18"/>
                <w:szCs w:val="18"/>
                <w:lang w:bidi="ar"/>
              </w:rPr>
              <w:t>，各类人员通道及流线图</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E8C74B">
            <w:pPr>
              <w:rPr>
                <w:rFonts w:ascii="Times New Roman Regular" w:hAnsi="Times New Roman Regular" w:cs="Times New Roman Regular"/>
                <w:b w:val="0"/>
                <w:bCs w:val="0"/>
                <w:sz w:val="18"/>
                <w:szCs w:val="18"/>
              </w:rPr>
            </w:pPr>
          </w:p>
        </w:tc>
        <w:tc>
          <w:tcPr>
            <w:tcW w:w="4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FF3C57">
            <w:pPr>
              <w:jc w:val="left"/>
              <w:rPr>
                <w:rFonts w:ascii="Times New Roman Regular" w:hAnsi="Times New Roman Regular" w:cs="Times New Roman Regular"/>
                <w:b w:val="0"/>
                <w:bCs w:val="0"/>
                <w:sz w:val="18"/>
                <w:szCs w:val="18"/>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95B7E7">
            <w:pPr>
              <w:jc w:val="left"/>
              <w:textAlignment w:val="center"/>
              <w:rPr>
                <w:rFonts w:ascii="Times New Roman Regular" w:hAnsi="Times New Roman Regular" w:cs="Times New Roman Regular"/>
                <w:b w:val="0"/>
                <w:bCs w:val="0"/>
                <w:sz w:val="18"/>
                <w:szCs w:val="18"/>
              </w:rPr>
            </w:pPr>
            <w:r>
              <w:rPr>
                <w:rFonts w:ascii="Times New Roman Regular" w:hAnsi="Times New Roman Regular" w:cs="Times New Roman Regular"/>
                <w:b w:val="0"/>
                <w:bCs w:val="0"/>
                <w:sz w:val="18"/>
                <w:szCs w:val="18"/>
                <w:lang w:bidi="ar"/>
              </w:rPr>
              <w:t>提供材料</w:t>
            </w:r>
          </w:p>
        </w:tc>
      </w:tr>
      <w:tr w14:paraId="7077E9AE">
        <w:tblPrEx>
          <w:tblCellMar>
            <w:top w:w="0" w:type="dxa"/>
            <w:left w:w="108" w:type="dxa"/>
            <w:bottom w:w="0" w:type="dxa"/>
            <w:right w:w="108" w:type="dxa"/>
          </w:tblCellMar>
        </w:tblPrEx>
        <w:trPr>
          <w:trHeight w:val="800" w:hRule="atLeast"/>
        </w:trPr>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E2D678">
            <w:pPr>
              <w:textAlignment w:val="center"/>
              <w:rPr>
                <w:rFonts w:ascii="Times New Roman Regular" w:hAnsi="Times New Roman Regular" w:cs="Times New Roman Regular"/>
                <w:b w:val="0"/>
                <w:bCs w:val="0"/>
                <w:sz w:val="18"/>
                <w:szCs w:val="18"/>
              </w:rPr>
            </w:pPr>
            <w:r>
              <w:rPr>
                <w:rFonts w:ascii="Times New Roman Regular" w:hAnsi="Times New Roman Regular" w:cs="Times New Roman Regular"/>
                <w:b w:val="0"/>
                <w:bCs w:val="0"/>
                <w:sz w:val="18"/>
                <w:szCs w:val="18"/>
                <w:lang w:bidi="ar"/>
              </w:rPr>
              <w:t>19</w:t>
            </w: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7DB91">
            <w:pPr>
              <w:rPr>
                <w:rFonts w:ascii="Times New Roman Regular" w:hAnsi="Times New Roman Regular" w:cs="Times New Roman Regular"/>
                <w:b w:val="0"/>
                <w:bCs w:val="0"/>
                <w:sz w:val="18"/>
                <w:szCs w:val="18"/>
              </w:rPr>
            </w:pPr>
          </w:p>
        </w:tc>
        <w:tc>
          <w:tcPr>
            <w:tcW w:w="20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994BB8">
            <w:pPr>
              <w:jc w:val="left"/>
              <w:textAlignment w:val="center"/>
              <w:rPr>
                <w:rFonts w:ascii="Times New Roman Regular" w:hAnsi="Times New Roman Regular" w:cs="Times New Roman Regular"/>
                <w:b w:val="0"/>
                <w:bCs w:val="0"/>
                <w:sz w:val="18"/>
                <w:szCs w:val="18"/>
              </w:rPr>
            </w:pPr>
            <w:r>
              <w:rPr>
                <w:rFonts w:ascii="Times New Roman Regular" w:hAnsi="Times New Roman Regular" w:cs="Times New Roman Regular"/>
                <w:b w:val="0"/>
                <w:bCs w:val="0"/>
                <w:sz w:val="18"/>
                <w:szCs w:val="18"/>
                <w:lang w:bidi="ar"/>
              </w:rPr>
              <w:t>赛事活动场馆场所周边临时搭建物</w:t>
            </w:r>
            <w:r>
              <w:rPr>
                <w:rFonts w:hint="eastAsia" w:ascii="Times New Roman Regular" w:hAnsi="Times New Roman Regular" w:cs="Times New Roman Regular"/>
                <w:b w:val="0"/>
                <w:bCs w:val="0"/>
                <w:sz w:val="18"/>
                <w:szCs w:val="18"/>
                <w:lang w:bidi="ar"/>
              </w:rPr>
              <w:t>、</w:t>
            </w:r>
            <w:r>
              <w:rPr>
                <w:rFonts w:ascii="Times New Roman Regular" w:hAnsi="Times New Roman Regular" w:cs="Times New Roman Regular"/>
                <w:b w:val="0"/>
                <w:bCs w:val="0"/>
                <w:sz w:val="18"/>
                <w:szCs w:val="18"/>
                <w:lang w:bidi="ar"/>
              </w:rPr>
              <w:t>景观搭建</w:t>
            </w:r>
            <w:r>
              <w:rPr>
                <w:rFonts w:hint="eastAsia" w:ascii="Times New Roman Regular" w:hAnsi="Times New Roman Regular" w:cs="Times New Roman Regular"/>
                <w:b w:val="0"/>
                <w:bCs w:val="0"/>
                <w:sz w:val="18"/>
                <w:szCs w:val="18"/>
                <w:lang w:bidi="ar"/>
              </w:rPr>
              <w:t>、赞助展示等，是否</w:t>
            </w:r>
            <w:r>
              <w:rPr>
                <w:rFonts w:ascii="Times New Roman Regular" w:hAnsi="Times New Roman Regular" w:cs="Times New Roman Regular"/>
                <w:b w:val="0"/>
                <w:bCs w:val="0"/>
                <w:sz w:val="18"/>
                <w:szCs w:val="18"/>
                <w:lang w:bidi="ar"/>
              </w:rPr>
              <w:t>规划合理，质量达标</w:t>
            </w:r>
            <w:r>
              <w:rPr>
                <w:rFonts w:hint="eastAsia" w:ascii="Times New Roman Regular" w:hAnsi="Times New Roman Regular" w:cs="Times New Roman Regular"/>
                <w:b w:val="0"/>
                <w:bCs w:val="0"/>
                <w:sz w:val="18"/>
                <w:szCs w:val="18"/>
                <w:lang w:bidi="ar"/>
              </w:rPr>
              <w:t>、</w:t>
            </w:r>
            <w:r>
              <w:rPr>
                <w:rFonts w:ascii="Times New Roman Regular" w:hAnsi="Times New Roman Regular" w:cs="Times New Roman Regular"/>
                <w:b w:val="0"/>
                <w:bCs w:val="0"/>
                <w:sz w:val="18"/>
                <w:szCs w:val="18"/>
                <w:lang w:bidi="ar"/>
              </w:rPr>
              <w:t>及时进行安全检查</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C6824A">
            <w:pPr>
              <w:rPr>
                <w:rFonts w:ascii="Times New Roman Regular" w:hAnsi="Times New Roman Regular" w:cs="Times New Roman Regular"/>
                <w:b w:val="0"/>
                <w:bCs w:val="0"/>
                <w:sz w:val="18"/>
                <w:szCs w:val="18"/>
              </w:rPr>
            </w:pPr>
          </w:p>
        </w:tc>
        <w:tc>
          <w:tcPr>
            <w:tcW w:w="4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14EEC6">
            <w:pPr>
              <w:jc w:val="left"/>
              <w:rPr>
                <w:rFonts w:ascii="Times New Roman Regular" w:hAnsi="Times New Roman Regular" w:cs="Times New Roman Regular"/>
                <w:b w:val="0"/>
                <w:bCs w:val="0"/>
                <w:sz w:val="18"/>
                <w:szCs w:val="18"/>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0C290E">
            <w:pPr>
              <w:jc w:val="left"/>
              <w:textAlignment w:val="center"/>
              <w:rPr>
                <w:rFonts w:ascii="Times New Roman Regular" w:hAnsi="Times New Roman Regular" w:cs="Times New Roman Regular"/>
                <w:b w:val="0"/>
                <w:bCs w:val="0"/>
                <w:sz w:val="18"/>
                <w:szCs w:val="18"/>
              </w:rPr>
            </w:pPr>
            <w:r>
              <w:rPr>
                <w:rFonts w:ascii="Times New Roman Regular" w:hAnsi="Times New Roman Regular" w:cs="Times New Roman Regular"/>
                <w:b w:val="0"/>
                <w:bCs w:val="0"/>
                <w:sz w:val="18"/>
                <w:szCs w:val="18"/>
                <w:lang w:bidi="ar"/>
              </w:rPr>
              <w:t>提供材料</w:t>
            </w:r>
          </w:p>
        </w:tc>
      </w:tr>
      <w:tr w14:paraId="43E08C3D">
        <w:tblPrEx>
          <w:tblCellMar>
            <w:top w:w="0" w:type="dxa"/>
            <w:left w:w="108" w:type="dxa"/>
            <w:bottom w:w="0" w:type="dxa"/>
            <w:right w:w="108" w:type="dxa"/>
          </w:tblCellMar>
        </w:tblPrEx>
        <w:trPr>
          <w:trHeight w:val="820" w:hRule="atLeast"/>
        </w:trPr>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04C841"/>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C5895"/>
        </w:tc>
        <w:tc>
          <w:tcPr>
            <w:tcW w:w="20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734567">
            <w:pPr>
              <w:jc w:val="left"/>
              <w:textAlignment w:val="center"/>
              <w:rPr>
                <w:rFonts w:ascii="Times New Roman Regular" w:hAnsi="Times New Roman Regular" w:cs="Times New Roman Regular"/>
                <w:b w:val="0"/>
                <w:bCs w:val="0"/>
                <w:sz w:val="18"/>
                <w:szCs w:val="18"/>
                <w:lang w:bidi="ar"/>
              </w:rPr>
            </w:pPr>
            <w:r>
              <w:rPr>
                <w:rFonts w:hint="eastAsia" w:ascii="Times New Roman Regular" w:hAnsi="Times New Roman Regular" w:cs="Times New Roman Regular"/>
                <w:b w:val="0"/>
                <w:bCs w:val="0"/>
                <w:sz w:val="18"/>
                <w:szCs w:val="18"/>
                <w:lang w:bidi="ar"/>
              </w:rPr>
              <w:t>赛事活动相关器材（篮球架、广告板等）是否摆放</w:t>
            </w:r>
            <w:r>
              <w:rPr>
                <w:rFonts w:ascii="Times New Roman Regular" w:hAnsi="Times New Roman Regular" w:cs="Times New Roman Regular"/>
                <w:b w:val="0"/>
                <w:bCs w:val="0"/>
                <w:sz w:val="18"/>
                <w:szCs w:val="18"/>
                <w:lang w:bidi="ar"/>
              </w:rPr>
              <w:t>合理</w:t>
            </w:r>
            <w:r>
              <w:rPr>
                <w:rFonts w:hint="eastAsia" w:ascii="Times New Roman Regular" w:hAnsi="Times New Roman Regular" w:cs="Times New Roman Regular"/>
                <w:b w:val="0"/>
                <w:bCs w:val="0"/>
                <w:sz w:val="18"/>
                <w:szCs w:val="18"/>
                <w:lang w:bidi="ar"/>
              </w:rPr>
              <w:t>、</w:t>
            </w:r>
            <w:r>
              <w:rPr>
                <w:rFonts w:ascii="Times New Roman Regular" w:hAnsi="Times New Roman Regular" w:cs="Times New Roman Regular"/>
                <w:b w:val="0"/>
                <w:bCs w:val="0"/>
                <w:sz w:val="18"/>
                <w:szCs w:val="18"/>
                <w:lang w:bidi="ar"/>
              </w:rPr>
              <w:t>质量达标</w:t>
            </w:r>
            <w:r>
              <w:rPr>
                <w:rFonts w:hint="eastAsia" w:ascii="Times New Roman Regular" w:hAnsi="Times New Roman Regular" w:cs="Times New Roman Regular"/>
                <w:b w:val="0"/>
                <w:bCs w:val="0"/>
                <w:sz w:val="18"/>
                <w:szCs w:val="18"/>
                <w:lang w:bidi="ar"/>
              </w:rPr>
              <w:t>、及时</w:t>
            </w:r>
            <w:r>
              <w:rPr>
                <w:rFonts w:ascii="Times New Roman Regular" w:hAnsi="Times New Roman Regular" w:cs="Times New Roman Regular"/>
                <w:b w:val="0"/>
                <w:bCs w:val="0"/>
                <w:sz w:val="18"/>
                <w:szCs w:val="18"/>
                <w:lang w:bidi="ar"/>
              </w:rPr>
              <w:t>进行</w:t>
            </w:r>
            <w:r>
              <w:rPr>
                <w:rFonts w:hint="eastAsia" w:ascii="Times New Roman Regular" w:hAnsi="Times New Roman Regular" w:cs="Times New Roman Regular"/>
                <w:b w:val="0"/>
                <w:bCs w:val="0"/>
                <w:sz w:val="18"/>
                <w:szCs w:val="18"/>
                <w:lang w:bidi="ar"/>
              </w:rPr>
              <w:t>了</w:t>
            </w:r>
            <w:r>
              <w:rPr>
                <w:rFonts w:ascii="Times New Roman Regular" w:hAnsi="Times New Roman Regular" w:cs="Times New Roman Regular"/>
                <w:b w:val="0"/>
                <w:bCs w:val="0"/>
                <w:sz w:val="18"/>
                <w:szCs w:val="18"/>
                <w:lang w:bidi="ar"/>
              </w:rPr>
              <w:t>安全检查</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F90501"/>
        </w:tc>
        <w:tc>
          <w:tcPr>
            <w:tcW w:w="4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B1C997"/>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8F3B10">
            <w:pPr>
              <w:jc w:val="both"/>
            </w:pPr>
            <w:r>
              <w:rPr>
                <w:rFonts w:ascii="Times New Roman Regular" w:hAnsi="Times New Roman Regular" w:cs="Times New Roman Regular"/>
                <w:b w:val="0"/>
                <w:bCs w:val="0"/>
                <w:sz w:val="18"/>
                <w:szCs w:val="18"/>
                <w:lang w:bidi="ar"/>
              </w:rPr>
              <w:t>提供材料</w:t>
            </w:r>
          </w:p>
        </w:tc>
      </w:tr>
      <w:tr w14:paraId="67BCF936">
        <w:tblPrEx>
          <w:tblCellMar>
            <w:top w:w="0" w:type="dxa"/>
            <w:left w:w="108" w:type="dxa"/>
            <w:bottom w:w="0" w:type="dxa"/>
            <w:right w:w="108" w:type="dxa"/>
          </w:tblCellMar>
        </w:tblPrEx>
        <w:trPr>
          <w:trHeight w:val="820" w:hRule="atLeast"/>
        </w:trPr>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97CD01">
            <w:pPr>
              <w:textAlignment w:val="center"/>
              <w:rPr>
                <w:rFonts w:ascii="Times New Roman Regular" w:hAnsi="Times New Roman Regular" w:cs="Times New Roman Regular"/>
                <w:b w:val="0"/>
                <w:bCs w:val="0"/>
                <w:sz w:val="18"/>
                <w:szCs w:val="18"/>
                <w:lang w:bidi="ar"/>
              </w:rPr>
            </w:pPr>
            <w:r>
              <w:rPr>
                <w:rFonts w:hint="eastAsia" w:ascii="Times New Roman Regular" w:hAnsi="Times New Roman Regular" w:cs="Times New Roman Regular"/>
                <w:b w:val="0"/>
                <w:bCs w:val="0"/>
                <w:sz w:val="18"/>
                <w:szCs w:val="18"/>
                <w:lang w:bidi="ar"/>
              </w:rPr>
              <w:t>20</w:t>
            </w:r>
          </w:p>
        </w:tc>
        <w:tc>
          <w:tcPr>
            <w:tcW w:w="7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126E7">
            <w:pPr>
              <w:rPr>
                <w:rFonts w:ascii="Times New Roman Regular" w:hAnsi="Times New Roman Regular" w:cs="Times New Roman Regular"/>
                <w:b w:val="0"/>
                <w:bCs w:val="0"/>
                <w:sz w:val="18"/>
                <w:szCs w:val="18"/>
                <w:lang w:bidi="ar"/>
              </w:rPr>
            </w:pPr>
            <w:r>
              <w:rPr>
                <w:rFonts w:ascii="Times New Roman Regular" w:hAnsi="Times New Roman Regular" w:cs="Times New Roman Regular"/>
                <w:b w:val="0"/>
                <w:bCs w:val="0"/>
                <w:sz w:val="18"/>
                <w:szCs w:val="18"/>
                <w:lang w:bidi="ar"/>
              </w:rPr>
              <w:t>交通</w:t>
            </w:r>
            <w:r>
              <w:rPr>
                <w:rFonts w:hint="eastAsia" w:ascii="Times New Roman Regular" w:hAnsi="Times New Roman Regular" w:cs="Times New Roman Regular"/>
                <w:b w:val="0"/>
                <w:bCs w:val="0"/>
                <w:sz w:val="18"/>
                <w:szCs w:val="18"/>
                <w:lang w:bidi="ar"/>
              </w:rPr>
              <w:t>和</w:t>
            </w:r>
          </w:p>
          <w:p w14:paraId="4F575219">
            <w:pPr>
              <w:rPr>
                <w:rFonts w:ascii="Times New Roman Regular" w:hAnsi="Times New Roman Regular" w:cs="Times New Roman Regular"/>
                <w:b w:val="0"/>
                <w:bCs w:val="0"/>
                <w:sz w:val="18"/>
                <w:szCs w:val="18"/>
              </w:rPr>
            </w:pPr>
            <w:r>
              <w:rPr>
                <w:rFonts w:ascii="Times New Roman Regular" w:hAnsi="Times New Roman Regular" w:cs="Times New Roman Regular"/>
                <w:b w:val="0"/>
                <w:bCs w:val="0"/>
                <w:sz w:val="18"/>
                <w:szCs w:val="18"/>
                <w:lang w:bidi="ar"/>
              </w:rPr>
              <w:t>医疗救援</w:t>
            </w:r>
          </w:p>
        </w:tc>
        <w:tc>
          <w:tcPr>
            <w:tcW w:w="20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6AA3EC">
            <w:pPr>
              <w:jc w:val="left"/>
              <w:textAlignment w:val="center"/>
              <w:rPr>
                <w:rFonts w:ascii="Times New Roman Regular" w:hAnsi="Times New Roman Regular" w:cs="Times New Roman Regular"/>
                <w:b w:val="0"/>
                <w:bCs w:val="0"/>
                <w:sz w:val="18"/>
                <w:szCs w:val="18"/>
                <w:lang w:bidi="ar"/>
              </w:rPr>
            </w:pPr>
            <w:r>
              <w:rPr>
                <w:rFonts w:ascii="Times New Roman Regular" w:hAnsi="Times New Roman Regular" w:cs="Times New Roman Regular"/>
                <w:b w:val="0"/>
                <w:bCs w:val="0"/>
                <w:sz w:val="18"/>
                <w:szCs w:val="18"/>
                <w:lang w:bidi="ar"/>
              </w:rPr>
              <w:t>服务规范、资质合格、</w:t>
            </w:r>
            <w:r>
              <w:rPr>
                <w:rFonts w:hint="eastAsia" w:ascii="Times New Roman Regular" w:hAnsi="Times New Roman Regular" w:cs="Times New Roman Regular"/>
                <w:b w:val="0"/>
                <w:bCs w:val="0"/>
                <w:sz w:val="18"/>
                <w:szCs w:val="18"/>
                <w:lang w:bidi="ar"/>
              </w:rPr>
              <w:t>是否定点</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64F100">
            <w:pPr>
              <w:rPr>
                <w:rFonts w:ascii="Times New Roman Regular" w:hAnsi="Times New Roman Regular" w:cs="Times New Roman Regular"/>
                <w:b w:val="0"/>
                <w:bCs w:val="0"/>
                <w:sz w:val="18"/>
                <w:szCs w:val="18"/>
              </w:rPr>
            </w:pPr>
          </w:p>
        </w:tc>
        <w:tc>
          <w:tcPr>
            <w:tcW w:w="4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C16790">
            <w:pPr>
              <w:jc w:val="left"/>
              <w:rPr>
                <w:rFonts w:ascii="Times New Roman Regular" w:hAnsi="Times New Roman Regular" w:cs="Times New Roman Regular"/>
                <w:b w:val="0"/>
                <w:bCs w:val="0"/>
                <w:sz w:val="18"/>
                <w:szCs w:val="18"/>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87F9BD">
            <w:pPr>
              <w:jc w:val="left"/>
              <w:textAlignment w:val="center"/>
              <w:rPr>
                <w:rFonts w:ascii="Times New Roman Regular" w:hAnsi="Times New Roman Regular" w:cs="Times New Roman Regular"/>
                <w:b w:val="0"/>
                <w:bCs w:val="0"/>
                <w:sz w:val="18"/>
                <w:szCs w:val="18"/>
                <w:lang w:bidi="ar"/>
              </w:rPr>
            </w:pPr>
            <w:r>
              <w:rPr>
                <w:rFonts w:hint="eastAsia" w:ascii="Times New Roman Regular" w:hAnsi="Times New Roman Regular" w:cs="Times New Roman Regular"/>
                <w:b w:val="0"/>
                <w:bCs w:val="0"/>
                <w:sz w:val="18"/>
                <w:szCs w:val="18"/>
                <w:lang w:bidi="ar"/>
              </w:rPr>
              <w:t>提供材料</w:t>
            </w:r>
          </w:p>
        </w:tc>
      </w:tr>
      <w:tr w14:paraId="64FE4B24">
        <w:tblPrEx>
          <w:tblCellMar>
            <w:top w:w="0" w:type="dxa"/>
            <w:left w:w="108" w:type="dxa"/>
            <w:bottom w:w="0" w:type="dxa"/>
            <w:right w:w="108" w:type="dxa"/>
          </w:tblCellMar>
        </w:tblPrEx>
        <w:trPr>
          <w:trHeight w:val="820" w:hRule="atLeast"/>
        </w:trPr>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FC318B">
            <w:pPr>
              <w:textAlignment w:val="center"/>
              <w:rPr>
                <w:rFonts w:ascii="Times New Roman Regular" w:hAnsi="Times New Roman Regular" w:cs="Times New Roman Regular"/>
                <w:b w:val="0"/>
                <w:bCs w:val="0"/>
                <w:sz w:val="18"/>
                <w:szCs w:val="18"/>
                <w:lang w:bidi="ar"/>
              </w:rPr>
            </w:pPr>
            <w:r>
              <w:rPr>
                <w:rFonts w:hint="eastAsia" w:ascii="Times New Roman Regular" w:hAnsi="Times New Roman Regular" w:cs="Times New Roman Regular"/>
                <w:b w:val="0"/>
                <w:bCs w:val="0"/>
                <w:sz w:val="18"/>
                <w:szCs w:val="18"/>
                <w:lang w:bidi="ar"/>
              </w:rPr>
              <w:t>21</w:t>
            </w:r>
          </w:p>
        </w:tc>
        <w:tc>
          <w:tcPr>
            <w:tcW w:w="7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951E78">
            <w:pPr>
              <w:rPr>
                <w:rFonts w:ascii="Times New Roman Regular" w:hAnsi="Times New Roman Regular" w:cs="Times New Roman Regular"/>
                <w:b w:val="0"/>
                <w:bCs w:val="0"/>
                <w:sz w:val="18"/>
                <w:szCs w:val="18"/>
              </w:rPr>
            </w:pPr>
            <w:r>
              <w:rPr>
                <w:rFonts w:hint="eastAsia" w:ascii="Times New Roman Regular" w:hAnsi="Times New Roman Regular" w:cs="Times New Roman Regular"/>
                <w:b w:val="0"/>
                <w:bCs w:val="0"/>
                <w:sz w:val="18"/>
                <w:szCs w:val="18"/>
                <w:lang w:bidi="ar"/>
              </w:rPr>
              <w:t>餐饮驻</w:t>
            </w:r>
            <w:r>
              <w:rPr>
                <w:rFonts w:ascii="Times New Roman Regular" w:hAnsi="Times New Roman Regular" w:cs="Times New Roman Regular"/>
                <w:b w:val="0"/>
                <w:bCs w:val="0"/>
                <w:sz w:val="18"/>
                <w:szCs w:val="18"/>
                <w:lang w:bidi="ar"/>
              </w:rPr>
              <w:t>宿</w:t>
            </w:r>
          </w:p>
        </w:tc>
        <w:tc>
          <w:tcPr>
            <w:tcW w:w="20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B94455">
            <w:pPr>
              <w:jc w:val="left"/>
              <w:textAlignment w:val="center"/>
              <w:rPr>
                <w:rFonts w:ascii="Times New Roman Regular" w:hAnsi="Times New Roman Regular" w:cs="Times New Roman Regular"/>
                <w:b w:val="0"/>
                <w:bCs w:val="0"/>
                <w:sz w:val="18"/>
                <w:szCs w:val="18"/>
                <w:lang w:bidi="ar"/>
              </w:rPr>
            </w:pPr>
            <w:r>
              <w:rPr>
                <w:rFonts w:ascii="Times New Roman Regular" w:hAnsi="Times New Roman Regular" w:cs="Times New Roman Regular"/>
                <w:b w:val="0"/>
                <w:bCs w:val="0"/>
                <w:sz w:val="18"/>
                <w:szCs w:val="18"/>
                <w:lang w:bidi="ar"/>
              </w:rPr>
              <w:t>服务管理规范、资质合格、质量达标</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2C3BC4">
            <w:pPr>
              <w:rPr>
                <w:rFonts w:ascii="Times New Roman Regular" w:hAnsi="Times New Roman Regular" w:cs="Times New Roman Regular"/>
                <w:b w:val="0"/>
                <w:bCs w:val="0"/>
                <w:sz w:val="18"/>
                <w:szCs w:val="18"/>
              </w:rPr>
            </w:pPr>
          </w:p>
        </w:tc>
        <w:tc>
          <w:tcPr>
            <w:tcW w:w="4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BF1FEC">
            <w:pPr>
              <w:jc w:val="left"/>
              <w:rPr>
                <w:rFonts w:ascii="Times New Roman Regular" w:hAnsi="Times New Roman Regular" w:cs="Times New Roman Regular"/>
                <w:b w:val="0"/>
                <w:bCs w:val="0"/>
                <w:sz w:val="18"/>
                <w:szCs w:val="18"/>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6EBF16">
            <w:pPr>
              <w:jc w:val="left"/>
              <w:textAlignment w:val="center"/>
              <w:rPr>
                <w:rFonts w:ascii="Times New Roman Regular" w:hAnsi="Times New Roman Regular" w:cs="Times New Roman Regular"/>
                <w:b w:val="0"/>
                <w:bCs w:val="0"/>
                <w:sz w:val="18"/>
                <w:szCs w:val="18"/>
                <w:lang w:bidi="ar"/>
              </w:rPr>
            </w:pPr>
            <w:r>
              <w:rPr>
                <w:rFonts w:hint="eastAsia" w:ascii="Times New Roman Regular" w:hAnsi="Times New Roman Regular" w:cs="Times New Roman Regular"/>
                <w:b w:val="0"/>
                <w:bCs w:val="0"/>
                <w:sz w:val="18"/>
                <w:szCs w:val="18"/>
                <w:lang w:bidi="ar"/>
              </w:rPr>
              <w:t>提供材料</w:t>
            </w:r>
          </w:p>
        </w:tc>
      </w:tr>
      <w:tr w14:paraId="4697E6CA">
        <w:tblPrEx>
          <w:tblCellMar>
            <w:top w:w="0" w:type="dxa"/>
            <w:left w:w="108" w:type="dxa"/>
            <w:bottom w:w="0" w:type="dxa"/>
            <w:right w:w="108" w:type="dxa"/>
          </w:tblCellMar>
        </w:tblPrEx>
        <w:trPr>
          <w:trHeight w:val="820" w:hRule="atLeast"/>
        </w:trPr>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2EF4F9">
            <w:pPr>
              <w:textAlignment w:val="center"/>
              <w:rPr>
                <w:rFonts w:ascii="Times New Roman Regular" w:hAnsi="Times New Roman Regular" w:cs="Times New Roman Regular"/>
                <w:b w:val="0"/>
                <w:bCs w:val="0"/>
                <w:sz w:val="18"/>
                <w:szCs w:val="18"/>
              </w:rPr>
            </w:pPr>
            <w:r>
              <w:rPr>
                <w:rFonts w:ascii="Times New Roman Regular" w:hAnsi="Times New Roman Regular" w:cs="Times New Roman Regular"/>
                <w:b w:val="0"/>
                <w:bCs w:val="0"/>
                <w:sz w:val="18"/>
                <w:szCs w:val="18"/>
                <w:lang w:bidi="ar"/>
              </w:rPr>
              <w:t>2</w:t>
            </w:r>
            <w:r>
              <w:rPr>
                <w:rFonts w:hint="eastAsia" w:ascii="Times New Roman Regular" w:hAnsi="Times New Roman Regular" w:cs="Times New Roman Regular"/>
                <w:b w:val="0"/>
                <w:bCs w:val="0"/>
                <w:sz w:val="18"/>
                <w:szCs w:val="18"/>
                <w:lang w:bidi="ar"/>
              </w:rPr>
              <w:t>2</w:t>
            </w:r>
          </w:p>
        </w:tc>
        <w:tc>
          <w:tcPr>
            <w:tcW w:w="7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4CE532">
            <w:pPr>
              <w:textAlignment w:val="center"/>
              <w:rPr>
                <w:rFonts w:ascii="Times New Roman Regular" w:hAnsi="Times New Roman Regular" w:cs="Times New Roman Regular"/>
                <w:b w:val="0"/>
                <w:bCs w:val="0"/>
                <w:sz w:val="18"/>
                <w:szCs w:val="18"/>
              </w:rPr>
            </w:pPr>
            <w:r>
              <w:rPr>
                <w:rFonts w:ascii="Times New Roman Regular" w:hAnsi="Times New Roman Regular" w:cs="Times New Roman Regular"/>
                <w:b w:val="0"/>
                <w:bCs w:val="0"/>
                <w:sz w:val="18"/>
                <w:szCs w:val="18"/>
                <w:lang w:bidi="ar"/>
              </w:rPr>
              <w:t>其他</w:t>
            </w:r>
          </w:p>
        </w:tc>
        <w:tc>
          <w:tcPr>
            <w:tcW w:w="20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F6327D">
            <w:pPr>
              <w:jc w:val="left"/>
              <w:textAlignment w:val="center"/>
              <w:rPr>
                <w:rFonts w:ascii="Times New Roman Regular" w:hAnsi="Times New Roman Regular" w:cs="Times New Roman Regular"/>
                <w:b w:val="0"/>
                <w:bCs w:val="0"/>
                <w:sz w:val="18"/>
                <w:szCs w:val="18"/>
              </w:rPr>
            </w:pPr>
            <w:r>
              <w:rPr>
                <w:rFonts w:ascii="Times New Roman Regular" w:hAnsi="Times New Roman Regular" w:cs="Times New Roman Regular"/>
                <w:b w:val="0"/>
                <w:bCs w:val="0"/>
                <w:sz w:val="18"/>
                <w:szCs w:val="18"/>
                <w:lang w:bidi="ar"/>
              </w:rPr>
              <w:t>拒不配合体育行政部门监管行为的；</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12124C">
            <w:pPr>
              <w:rPr>
                <w:rFonts w:ascii="Times New Roman Regular" w:hAnsi="Times New Roman Regular" w:cs="Times New Roman Regular"/>
                <w:b w:val="0"/>
                <w:bCs w:val="0"/>
                <w:sz w:val="18"/>
                <w:szCs w:val="18"/>
              </w:rPr>
            </w:pPr>
          </w:p>
        </w:tc>
        <w:tc>
          <w:tcPr>
            <w:tcW w:w="4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E6EF81">
            <w:pPr>
              <w:jc w:val="left"/>
              <w:rPr>
                <w:rFonts w:ascii="Times New Roman Regular" w:hAnsi="Times New Roman Regular" w:cs="Times New Roman Regular"/>
                <w:b w:val="0"/>
                <w:bCs w:val="0"/>
                <w:sz w:val="18"/>
                <w:szCs w:val="18"/>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C78FF1">
            <w:pPr>
              <w:jc w:val="left"/>
              <w:textAlignment w:val="center"/>
              <w:rPr>
                <w:rFonts w:ascii="Times New Roman Regular" w:hAnsi="Times New Roman Regular" w:cs="Times New Roman Regular"/>
                <w:b w:val="0"/>
                <w:bCs w:val="0"/>
                <w:sz w:val="18"/>
                <w:szCs w:val="18"/>
              </w:rPr>
            </w:pPr>
            <w:r>
              <w:rPr>
                <w:rFonts w:ascii="Times New Roman Regular" w:hAnsi="Times New Roman Regular" w:cs="Times New Roman Regular"/>
                <w:b w:val="0"/>
                <w:bCs w:val="0"/>
                <w:sz w:val="18"/>
                <w:szCs w:val="18"/>
                <w:lang w:bidi="ar"/>
              </w:rPr>
              <w:t>提供监管过程文件、监管办法等材料</w:t>
            </w:r>
          </w:p>
        </w:tc>
      </w:tr>
      <w:tr w14:paraId="4E6E84E2">
        <w:tblPrEx>
          <w:tblCellMar>
            <w:top w:w="0" w:type="dxa"/>
            <w:left w:w="108" w:type="dxa"/>
            <w:bottom w:w="0" w:type="dxa"/>
            <w:right w:w="108" w:type="dxa"/>
          </w:tblCellMar>
        </w:tblPrEx>
        <w:trPr>
          <w:trHeight w:val="820" w:hRule="atLeast"/>
        </w:trPr>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528E5B">
            <w:pPr>
              <w:textAlignment w:val="center"/>
              <w:rPr>
                <w:rFonts w:ascii="Times New Roman Regular" w:hAnsi="Times New Roman Regular" w:cs="Times New Roman Regular"/>
                <w:b w:val="0"/>
                <w:bCs w:val="0"/>
                <w:sz w:val="18"/>
                <w:szCs w:val="18"/>
                <w:lang w:bidi="ar"/>
              </w:rPr>
            </w:pPr>
            <w:r>
              <w:rPr>
                <w:rFonts w:hint="eastAsia" w:ascii="Times New Roman Regular" w:hAnsi="Times New Roman Regular" w:cs="Times New Roman Regular"/>
                <w:b w:val="0"/>
                <w:bCs w:val="0"/>
                <w:sz w:val="18"/>
                <w:szCs w:val="18"/>
                <w:lang w:bidi="ar"/>
              </w:rPr>
              <w:t>23</w:t>
            </w:r>
          </w:p>
        </w:tc>
        <w:tc>
          <w:tcPr>
            <w:tcW w:w="7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6EE802">
            <w:pPr>
              <w:textAlignment w:val="center"/>
              <w:rPr>
                <w:rFonts w:ascii="Times New Roman Regular" w:hAnsi="Times New Roman Regular" w:cs="Times New Roman Regular"/>
                <w:b w:val="0"/>
                <w:bCs w:val="0"/>
                <w:sz w:val="18"/>
                <w:szCs w:val="18"/>
                <w:lang w:bidi="ar"/>
              </w:rPr>
            </w:pPr>
            <w:r>
              <w:rPr>
                <w:rFonts w:hint="eastAsia" w:ascii="Times New Roman Regular" w:hAnsi="Times New Roman Regular" w:cs="Times New Roman Regular"/>
                <w:b w:val="0"/>
                <w:bCs w:val="0"/>
                <w:sz w:val="18"/>
                <w:szCs w:val="18"/>
                <w:lang w:bidi="ar"/>
              </w:rPr>
              <w:t>问题清单</w:t>
            </w:r>
          </w:p>
        </w:tc>
        <w:tc>
          <w:tcPr>
            <w:tcW w:w="20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0896CD">
            <w:pPr>
              <w:jc w:val="left"/>
              <w:textAlignment w:val="center"/>
              <w:rPr>
                <w:rFonts w:ascii="Times New Roman Regular" w:hAnsi="Times New Roman Regular" w:cs="Times New Roman Regular"/>
                <w:b w:val="0"/>
                <w:bCs w:val="0"/>
                <w:sz w:val="18"/>
                <w:szCs w:val="18"/>
                <w:lang w:bidi="ar"/>
              </w:rPr>
            </w:pPr>
            <w:r>
              <w:rPr>
                <w:rFonts w:hint="eastAsia" w:ascii="Times New Roman Regular" w:hAnsi="Times New Roman Regular" w:cs="Times New Roman Regular"/>
                <w:b w:val="0"/>
                <w:bCs w:val="0"/>
                <w:sz w:val="18"/>
                <w:szCs w:val="18"/>
                <w:lang w:bidi="ar"/>
              </w:rPr>
              <w:t>上述问题汇总，并列出重点问题、建议等</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12786B">
            <w:pPr>
              <w:rPr>
                <w:rFonts w:ascii="Times New Roman Regular" w:hAnsi="Times New Roman Regular" w:cs="Times New Roman Regular"/>
                <w:b w:val="0"/>
                <w:bCs w:val="0"/>
                <w:sz w:val="18"/>
                <w:szCs w:val="18"/>
              </w:rPr>
            </w:pPr>
          </w:p>
        </w:tc>
        <w:tc>
          <w:tcPr>
            <w:tcW w:w="4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F16914">
            <w:pPr>
              <w:jc w:val="left"/>
              <w:rPr>
                <w:rFonts w:ascii="Times New Roman Regular" w:hAnsi="Times New Roman Regular" w:cs="Times New Roman Regular"/>
                <w:b w:val="0"/>
                <w:bCs w:val="0"/>
                <w:sz w:val="18"/>
                <w:szCs w:val="18"/>
              </w:rPr>
            </w:pPr>
          </w:p>
        </w:tc>
        <w:tc>
          <w:tcPr>
            <w:tcW w:w="8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7E4DEE">
            <w:pPr>
              <w:jc w:val="left"/>
              <w:textAlignment w:val="center"/>
              <w:rPr>
                <w:rFonts w:ascii="Times New Roman Regular" w:hAnsi="Times New Roman Regular" w:cs="Times New Roman Regular"/>
                <w:b w:val="0"/>
                <w:bCs w:val="0"/>
                <w:sz w:val="18"/>
                <w:szCs w:val="18"/>
                <w:lang w:bidi="ar"/>
              </w:rPr>
            </w:pPr>
            <w:r>
              <w:rPr>
                <w:rFonts w:hint="eastAsia" w:ascii="Times New Roman Regular" w:hAnsi="Times New Roman Regular" w:cs="Times New Roman Regular"/>
                <w:b w:val="0"/>
                <w:bCs w:val="0"/>
                <w:sz w:val="18"/>
                <w:szCs w:val="18"/>
                <w:lang w:bidi="ar"/>
              </w:rPr>
              <w:t>见体育总局安全检查汇总表</w:t>
            </w:r>
          </w:p>
        </w:tc>
      </w:tr>
    </w:tbl>
    <w:p w14:paraId="07774580">
      <w:pPr>
        <w:jc w:val="both"/>
        <w:rPr>
          <w:rFonts w:ascii="黑体" w:hAnsi="黑体" w:eastAsia="黑体"/>
          <w:sz w:val="28"/>
          <w:szCs w:val="28"/>
        </w:rPr>
        <w:sectPr>
          <w:pgSz w:w="11900" w:h="16840"/>
          <w:pgMar w:top="1431" w:right="1235" w:bottom="1224" w:left="1700" w:header="0" w:footer="935" w:gutter="0"/>
          <w:cols w:space="720" w:num="1"/>
        </w:sectPr>
      </w:pPr>
      <w:r>
        <w:rPr>
          <w:rFonts w:hint="eastAsia" w:ascii="华文隶书" w:hAnsi="华文隶书" w:eastAsia="华文隶书" w:cs="华文隶书"/>
          <w:sz w:val="28"/>
          <w:szCs w:val="28"/>
        </w:rPr>
        <w:t>注：重大篮球赛事活动赛前应进行赛事安全工作抽查，根据赛事情况可拟定抽查项目、内容和相应标准。</w:t>
      </w:r>
    </w:p>
    <w:p w14:paraId="657ED023">
      <w:pPr>
        <w:jc w:val="left"/>
        <w:rPr>
          <w:rFonts w:ascii="宋体" w:hAnsi="宋体" w:eastAsia="宋体"/>
          <w:sz w:val="28"/>
          <w:szCs w:val="28"/>
        </w:rPr>
      </w:pPr>
      <w:r>
        <w:rPr>
          <w:rFonts w:hint="eastAsia" w:ascii="宋体" w:hAnsi="宋体" w:eastAsia="宋体"/>
          <w:sz w:val="28"/>
          <w:szCs w:val="28"/>
        </w:rPr>
        <w:t>附件4：</w:t>
      </w:r>
    </w:p>
    <w:p w14:paraId="36A6712D">
      <w:pPr>
        <w:spacing w:line="360" w:lineRule="auto"/>
        <w:rPr>
          <w:rFonts w:ascii="华文中宋" w:hAnsi="华文中宋" w:eastAsia="华文中宋" w:cstheme="majorEastAsia"/>
          <w:sz w:val="36"/>
        </w:rPr>
      </w:pPr>
      <w:r>
        <w:rPr>
          <w:rFonts w:hint="eastAsia" w:ascii="华文中宋" w:hAnsi="华文中宋" w:eastAsia="华文中宋" w:cstheme="majorEastAsia"/>
          <w:sz w:val="36"/>
        </w:rPr>
        <w:t>XX篮球赛事活动运动员参赛</w:t>
      </w:r>
    </w:p>
    <w:p w14:paraId="752B3E8A">
      <w:pPr>
        <w:spacing w:line="360" w:lineRule="auto"/>
        <w:rPr>
          <w:rFonts w:ascii="华文中宋" w:hAnsi="华文中宋" w:eastAsia="华文中宋" w:cstheme="majorEastAsia"/>
          <w:sz w:val="36"/>
        </w:rPr>
      </w:pPr>
      <w:r>
        <w:rPr>
          <w:rFonts w:hint="eastAsia" w:ascii="华文中宋" w:hAnsi="华文中宋" w:eastAsia="华文中宋" w:cstheme="majorEastAsia"/>
          <w:sz w:val="36"/>
        </w:rPr>
        <w:t>免责承诺书</w:t>
      </w:r>
    </w:p>
    <w:p w14:paraId="3CCB9151">
      <w:pPr>
        <w:rPr>
          <w:rFonts w:cs="仿宋"/>
          <w:sz w:val="30"/>
          <w:szCs w:val="30"/>
        </w:rPr>
      </w:pPr>
    </w:p>
    <w:p w14:paraId="611A6DD5">
      <w:pPr>
        <w:pStyle w:val="3"/>
        <w:spacing w:before="0" w:line="520" w:lineRule="exact"/>
        <w:ind w:firstLine="640" w:firstLineChars="200"/>
        <w:jc w:val="both"/>
        <w:rPr>
          <w:b w:val="0"/>
          <w:bCs w:val="0"/>
          <w:sz w:val="32"/>
          <w:szCs w:val="32"/>
          <w:lang w:eastAsia="zh-CN"/>
        </w:rPr>
      </w:pPr>
      <w:r>
        <w:rPr>
          <w:rFonts w:hint="eastAsia"/>
          <w:b w:val="0"/>
          <w:bCs w:val="0"/>
          <w:sz w:val="32"/>
          <w:szCs w:val="32"/>
          <w:lang w:eastAsia="zh-CN"/>
        </w:rPr>
        <w:t>本人         （身份证号码：                 ）确认加入（              ）队，参加（               ） 篮球赛事，在此声明，本人已收到XX 赛事竞赛规程和有关通知，并被明确告知本篮球比赛所具有的危险性。特此作出免责声明如下：</w:t>
      </w:r>
    </w:p>
    <w:p w14:paraId="37430418">
      <w:pPr>
        <w:pStyle w:val="3"/>
        <w:spacing w:before="0" w:line="520" w:lineRule="exact"/>
        <w:ind w:firstLine="640" w:firstLineChars="200"/>
        <w:jc w:val="both"/>
        <w:rPr>
          <w:b w:val="0"/>
          <w:bCs w:val="0"/>
          <w:sz w:val="32"/>
          <w:szCs w:val="32"/>
          <w:lang w:eastAsia="zh-CN"/>
        </w:rPr>
      </w:pPr>
      <w:r>
        <w:rPr>
          <w:rFonts w:hint="eastAsia"/>
          <w:b w:val="0"/>
          <w:bCs w:val="0"/>
          <w:sz w:val="32"/>
          <w:szCs w:val="32"/>
          <w:lang w:eastAsia="zh-CN"/>
        </w:rPr>
        <w:t>一、本人承诺身体健康，无任何足以影响本人参加篮球运动训练和/或参赛的疾病，可以正常参加比赛。赛事期间，承诺全力避免涉及中国法律和赛事管理所不允许的行为，因本人健康原因或行为不当所产生的一切后果均由本人自负。</w:t>
      </w:r>
    </w:p>
    <w:p w14:paraId="6229E9CF">
      <w:pPr>
        <w:pStyle w:val="3"/>
        <w:spacing w:before="0" w:line="520" w:lineRule="exact"/>
        <w:ind w:firstLine="640" w:firstLineChars="200"/>
        <w:jc w:val="both"/>
        <w:rPr>
          <w:b w:val="0"/>
          <w:bCs w:val="0"/>
          <w:sz w:val="32"/>
          <w:szCs w:val="32"/>
          <w:lang w:eastAsia="zh-CN"/>
        </w:rPr>
      </w:pPr>
      <w:r>
        <w:rPr>
          <w:rFonts w:hint="eastAsia"/>
          <w:b w:val="0"/>
          <w:bCs w:val="0"/>
          <w:sz w:val="32"/>
          <w:szCs w:val="32"/>
          <w:lang w:eastAsia="zh-CN"/>
        </w:rPr>
        <w:t>二、由于自己或他人的任何行为疏忽，或由于比赛结果、比赛使用器材，有可能对本人造成风险或伤害，本人将自愿承担。</w:t>
      </w:r>
    </w:p>
    <w:p w14:paraId="47BB94EC">
      <w:pPr>
        <w:pStyle w:val="3"/>
        <w:spacing w:before="0" w:line="520" w:lineRule="exact"/>
        <w:ind w:firstLine="640" w:firstLineChars="200"/>
        <w:jc w:val="both"/>
        <w:rPr>
          <w:b w:val="0"/>
          <w:bCs w:val="0"/>
          <w:sz w:val="32"/>
          <w:szCs w:val="32"/>
          <w:lang w:eastAsia="zh-CN"/>
        </w:rPr>
      </w:pPr>
      <w:r>
        <w:rPr>
          <w:rFonts w:hint="eastAsia"/>
          <w:b w:val="0"/>
          <w:bCs w:val="0"/>
          <w:sz w:val="32"/>
          <w:szCs w:val="32"/>
          <w:lang w:eastAsia="zh-CN"/>
        </w:rPr>
        <w:t>三、确认已购买人身意外伤害保险，保险有效期覆盖赛事整个阶段（含往返路途中）。</w:t>
      </w:r>
    </w:p>
    <w:p w14:paraId="0A564C29">
      <w:pPr>
        <w:pStyle w:val="3"/>
        <w:spacing w:before="0" w:line="520" w:lineRule="exact"/>
        <w:ind w:firstLine="640" w:firstLineChars="200"/>
        <w:jc w:val="both"/>
        <w:rPr>
          <w:b w:val="0"/>
          <w:bCs w:val="0"/>
          <w:sz w:val="32"/>
          <w:szCs w:val="32"/>
          <w:lang w:eastAsia="zh-CN"/>
        </w:rPr>
      </w:pPr>
      <w:r>
        <w:rPr>
          <w:rFonts w:hint="eastAsia"/>
          <w:b w:val="0"/>
          <w:bCs w:val="0"/>
          <w:sz w:val="32"/>
          <w:szCs w:val="32"/>
          <w:lang w:eastAsia="zh-CN"/>
        </w:rPr>
        <w:t>四、本人保证遵守相关国家法律、法规以及中国篮协有关规定、规章，遵守赛事安全、赛风赛纪和反兴奋剂等相关规定。</w:t>
      </w:r>
    </w:p>
    <w:p w14:paraId="36CDF156">
      <w:pPr>
        <w:pStyle w:val="3"/>
        <w:spacing w:before="0" w:line="520" w:lineRule="exact"/>
        <w:ind w:firstLine="640" w:firstLineChars="200"/>
        <w:jc w:val="both"/>
        <w:rPr>
          <w:b w:val="0"/>
          <w:bCs w:val="0"/>
          <w:sz w:val="32"/>
          <w:szCs w:val="32"/>
          <w:lang w:eastAsia="zh-CN"/>
        </w:rPr>
      </w:pPr>
      <w:r>
        <w:rPr>
          <w:rFonts w:hint="eastAsia"/>
          <w:b w:val="0"/>
          <w:bCs w:val="0"/>
          <w:sz w:val="32"/>
          <w:szCs w:val="32"/>
          <w:lang w:eastAsia="zh-CN"/>
        </w:rPr>
        <w:t>五、本人了解本参赛承诺书并自愿签署，遵守上述规定。</w:t>
      </w:r>
    </w:p>
    <w:p w14:paraId="321169CC">
      <w:pPr>
        <w:pStyle w:val="3"/>
        <w:spacing w:before="0" w:line="520" w:lineRule="exact"/>
        <w:ind w:firstLine="640" w:firstLineChars="200"/>
        <w:jc w:val="both"/>
        <w:rPr>
          <w:b w:val="0"/>
          <w:bCs w:val="0"/>
          <w:sz w:val="32"/>
          <w:szCs w:val="32"/>
          <w:lang w:eastAsia="zh-CN"/>
        </w:rPr>
      </w:pPr>
    </w:p>
    <w:p w14:paraId="6AEFDC3C">
      <w:pPr>
        <w:pStyle w:val="3"/>
        <w:spacing w:before="0" w:line="520" w:lineRule="exact"/>
        <w:ind w:firstLine="640" w:firstLineChars="200"/>
        <w:jc w:val="both"/>
        <w:rPr>
          <w:b w:val="0"/>
          <w:bCs w:val="0"/>
          <w:sz w:val="32"/>
          <w:szCs w:val="32"/>
          <w:lang w:eastAsia="zh-CN"/>
        </w:rPr>
      </w:pPr>
      <w:r>
        <w:rPr>
          <w:rFonts w:hint="eastAsia"/>
          <w:b w:val="0"/>
          <w:bCs w:val="0"/>
          <w:sz w:val="32"/>
          <w:szCs w:val="32"/>
          <w:lang w:eastAsia="zh-CN"/>
        </w:rPr>
        <w:t>签字人：</w:t>
      </w:r>
    </w:p>
    <w:p w14:paraId="3AF2177F">
      <w:pPr>
        <w:pStyle w:val="3"/>
        <w:spacing w:before="0" w:line="520" w:lineRule="exact"/>
        <w:ind w:firstLine="640" w:firstLineChars="200"/>
        <w:jc w:val="both"/>
        <w:rPr>
          <w:b w:val="0"/>
          <w:bCs w:val="0"/>
          <w:sz w:val="32"/>
          <w:szCs w:val="32"/>
          <w:lang w:eastAsia="zh-CN"/>
        </w:rPr>
      </w:pPr>
    </w:p>
    <w:p w14:paraId="541326FD">
      <w:pPr>
        <w:pStyle w:val="3"/>
        <w:spacing w:before="0" w:line="520" w:lineRule="exact"/>
        <w:ind w:firstLine="640" w:firstLineChars="200"/>
        <w:jc w:val="both"/>
        <w:rPr>
          <w:b w:val="0"/>
          <w:bCs w:val="0"/>
          <w:sz w:val="32"/>
          <w:szCs w:val="32"/>
          <w:lang w:eastAsia="zh-CN"/>
        </w:rPr>
      </w:pPr>
      <w:r>
        <w:rPr>
          <w:rFonts w:hint="eastAsia"/>
          <w:b w:val="0"/>
          <w:bCs w:val="0"/>
          <w:sz w:val="32"/>
          <w:szCs w:val="32"/>
          <w:lang w:eastAsia="zh-CN"/>
        </w:rPr>
        <w:t>20   年  月  日</w:t>
      </w:r>
    </w:p>
    <w:p w14:paraId="15602AF1">
      <w:pPr>
        <w:pStyle w:val="3"/>
        <w:spacing w:before="0" w:line="520" w:lineRule="exact"/>
        <w:ind w:firstLine="640" w:firstLineChars="200"/>
        <w:jc w:val="both"/>
        <w:rPr>
          <w:b w:val="0"/>
          <w:bCs w:val="0"/>
          <w:sz w:val="32"/>
          <w:szCs w:val="32"/>
          <w:lang w:eastAsia="zh-CN"/>
        </w:rPr>
      </w:pPr>
      <w:r>
        <w:rPr>
          <w:rFonts w:hint="eastAsia"/>
          <w:b w:val="0"/>
          <w:bCs w:val="0"/>
          <w:sz w:val="32"/>
          <w:szCs w:val="32"/>
          <w:lang w:eastAsia="zh-CN"/>
        </w:rPr>
        <w:t>注：本参赛免责承诺书由球队所有人员签署。</w:t>
      </w:r>
    </w:p>
    <w:p w14:paraId="5EECB8FC">
      <w:pPr>
        <w:spacing w:line="341" w:lineRule="auto"/>
        <w:jc w:val="both"/>
        <w:rPr>
          <w:rFonts w:ascii="黑体" w:hAnsi="黑体" w:eastAsia="黑体"/>
          <w:b w:val="0"/>
          <w:bCs w:val="0"/>
          <w:sz w:val="30"/>
          <w:szCs w:val="30"/>
        </w:rPr>
      </w:pPr>
    </w:p>
    <w:p w14:paraId="1F8355B4">
      <w:pPr>
        <w:spacing w:line="341" w:lineRule="auto"/>
        <w:jc w:val="both"/>
        <w:rPr>
          <w:rFonts w:ascii="黑体" w:hAnsi="黑体" w:eastAsia="黑体"/>
          <w:b w:val="0"/>
          <w:bCs w:val="0"/>
          <w:sz w:val="30"/>
          <w:szCs w:val="30"/>
        </w:rPr>
      </w:pPr>
      <w:r>
        <w:rPr>
          <w:rFonts w:hint="eastAsia" w:ascii="黑体" w:hAnsi="黑体" w:eastAsia="黑体"/>
          <w:b w:val="0"/>
          <w:bCs w:val="0"/>
          <w:sz w:val="30"/>
          <w:szCs w:val="30"/>
        </w:rPr>
        <w:t>附件5：</w:t>
      </w:r>
    </w:p>
    <w:p w14:paraId="4F86450B">
      <w:pPr>
        <w:spacing w:before="0" w:line="240" w:lineRule="auto"/>
        <w:rPr>
          <w:rFonts w:ascii="华文中宋" w:hAnsi="华文中宋" w:eastAsia="华文中宋" w:cs="华文中宋"/>
          <w:b w:val="0"/>
          <w:bCs w:val="0"/>
          <w:sz w:val="36"/>
          <w:szCs w:val="36"/>
        </w:rPr>
      </w:pPr>
      <w:r>
        <w:rPr>
          <w:rFonts w:hint="eastAsia" w:ascii="华文中宋" w:hAnsi="华文中宋" w:eastAsia="华文中宋" w:cs="华文中宋"/>
          <w:b w:val="0"/>
          <w:bCs w:val="0"/>
          <w:sz w:val="36"/>
          <w:szCs w:val="36"/>
        </w:rPr>
        <w:t>篮球运动员伤病应急预案表</w:t>
      </w:r>
    </w:p>
    <w:p w14:paraId="64C7C348">
      <w:pPr>
        <w:spacing w:before="0" w:line="240" w:lineRule="auto"/>
        <w:rPr>
          <w:rFonts w:ascii="黑体" w:hAnsi="黑体" w:eastAsia="黑体"/>
          <w:sz w:val="28"/>
          <w:szCs w:val="28"/>
        </w:rPr>
      </w:pPr>
    </w:p>
    <w:tbl>
      <w:tblPr>
        <w:tblStyle w:val="10"/>
        <w:tblW w:w="9108" w:type="dxa"/>
        <w:jc w:val="center"/>
        <w:tblBorders>
          <w:top w:val="double" w:color="000000" w:sz="6" w:space="0"/>
          <w:left w:val="double" w:color="000000" w:sz="6" w:space="0"/>
          <w:bottom w:val="double" w:color="000000" w:sz="6" w:space="0"/>
          <w:right w:val="double" w:color="000000" w:sz="6" w:space="0"/>
          <w:insideH w:val="double" w:color="000000" w:sz="6" w:space="0"/>
          <w:insideV w:val="single" w:color="000000" w:sz="6" w:space="0"/>
        </w:tblBorders>
        <w:tblLayout w:type="autofit"/>
        <w:tblCellMar>
          <w:top w:w="0" w:type="dxa"/>
          <w:left w:w="108" w:type="dxa"/>
          <w:bottom w:w="0" w:type="dxa"/>
          <w:right w:w="108" w:type="dxa"/>
        </w:tblCellMar>
      </w:tblPr>
      <w:tblGrid>
        <w:gridCol w:w="1188"/>
        <w:gridCol w:w="3960"/>
        <w:gridCol w:w="1345"/>
        <w:gridCol w:w="1355"/>
        <w:gridCol w:w="1260"/>
      </w:tblGrid>
      <w:tr w14:paraId="616943D1">
        <w:tblPrEx>
          <w:tblBorders>
            <w:top w:val="double" w:color="000000" w:sz="6" w:space="0"/>
            <w:left w:val="double" w:color="000000" w:sz="6" w:space="0"/>
            <w:bottom w:val="double" w:color="000000" w:sz="6" w:space="0"/>
            <w:right w:val="double" w:color="000000" w:sz="6" w:space="0"/>
            <w:insideH w:val="double" w:color="000000" w:sz="6" w:space="0"/>
            <w:insideV w:val="single" w:color="000000" w:sz="6" w:space="0"/>
          </w:tblBorders>
          <w:tblCellMar>
            <w:top w:w="0" w:type="dxa"/>
            <w:left w:w="108" w:type="dxa"/>
            <w:bottom w:w="0" w:type="dxa"/>
            <w:right w:w="108" w:type="dxa"/>
          </w:tblCellMar>
        </w:tblPrEx>
        <w:trPr>
          <w:trHeight w:val="435" w:hRule="atLeast"/>
          <w:jc w:val="center"/>
        </w:trPr>
        <w:tc>
          <w:tcPr>
            <w:tcW w:w="1188" w:type="dxa"/>
            <w:vAlign w:val="center"/>
          </w:tcPr>
          <w:p w14:paraId="103EA15B">
            <w:pPr>
              <w:spacing w:line="300" w:lineRule="auto"/>
              <w:rPr>
                <w:rFonts w:ascii="Times New Roman Regular" w:hAnsi="Times New Roman Regular" w:cs="Times New Roman Regular"/>
                <w:b w:val="0"/>
                <w:bCs w:val="0"/>
                <w:sz w:val="20"/>
                <w:szCs w:val="20"/>
              </w:rPr>
            </w:pPr>
            <w:r>
              <w:rPr>
                <w:rFonts w:ascii="Times New Roman Regular" w:hAnsi="Times New Roman Regular" w:cs="Times New Roman Regular"/>
                <w:b w:val="0"/>
                <w:bCs w:val="0"/>
                <w:sz w:val="20"/>
                <w:szCs w:val="20"/>
              </w:rPr>
              <w:t>事件名称</w:t>
            </w:r>
          </w:p>
        </w:tc>
        <w:tc>
          <w:tcPr>
            <w:tcW w:w="7920" w:type="dxa"/>
            <w:gridSpan w:val="4"/>
            <w:vAlign w:val="center"/>
          </w:tcPr>
          <w:p w14:paraId="56666D5D">
            <w:pPr>
              <w:spacing w:line="300" w:lineRule="auto"/>
              <w:ind w:right="141" w:rightChars="44"/>
              <w:rPr>
                <w:rFonts w:ascii="Times New Roman Regular" w:hAnsi="Times New Roman Regular" w:cs="Times New Roman Regular"/>
                <w:b w:val="0"/>
                <w:bCs w:val="0"/>
                <w:sz w:val="20"/>
                <w:szCs w:val="20"/>
              </w:rPr>
            </w:pPr>
            <w:r>
              <w:rPr>
                <w:rFonts w:ascii="Times New Roman Regular" w:hAnsi="Times New Roman Regular" w:cs="Times New Roman Regular"/>
                <w:sz w:val="20"/>
                <w:szCs w:val="20"/>
              </w:rPr>
              <w:t>运动员比赛期间意外受伤、生病</w:t>
            </w:r>
          </w:p>
        </w:tc>
      </w:tr>
      <w:tr w14:paraId="387E18D2">
        <w:tblPrEx>
          <w:tblBorders>
            <w:top w:val="double" w:color="000000" w:sz="6" w:space="0"/>
            <w:left w:val="double" w:color="000000" w:sz="6" w:space="0"/>
            <w:bottom w:val="double" w:color="000000" w:sz="6" w:space="0"/>
            <w:right w:val="double" w:color="000000" w:sz="6" w:space="0"/>
            <w:insideH w:val="double" w:color="000000" w:sz="6" w:space="0"/>
            <w:insideV w:val="single" w:color="000000" w:sz="6" w:space="0"/>
          </w:tblBorders>
          <w:tblCellMar>
            <w:top w:w="0" w:type="dxa"/>
            <w:left w:w="108" w:type="dxa"/>
            <w:bottom w:w="0" w:type="dxa"/>
            <w:right w:w="108" w:type="dxa"/>
          </w:tblCellMar>
        </w:tblPrEx>
        <w:trPr>
          <w:trHeight w:val="410" w:hRule="atLeast"/>
          <w:jc w:val="center"/>
        </w:trPr>
        <w:tc>
          <w:tcPr>
            <w:tcW w:w="1188" w:type="dxa"/>
            <w:vAlign w:val="center"/>
          </w:tcPr>
          <w:p w14:paraId="353FA42D">
            <w:pPr>
              <w:spacing w:line="300" w:lineRule="auto"/>
              <w:rPr>
                <w:rFonts w:ascii="Times New Roman Regular" w:hAnsi="Times New Roman Regular" w:cs="Times New Roman Regular"/>
                <w:b w:val="0"/>
                <w:bCs w:val="0"/>
                <w:sz w:val="20"/>
                <w:szCs w:val="20"/>
              </w:rPr>
            </w:pPr>
            <w:r>
              <w:rPr>
                <w:rFonts w:ascii="Times New Roman Regular" w:hAnsi="Times New Roman Regular" w:cs="Times New Roman Regular"/>
                <w:b w:val="0"/>
                <w:bCs w:val="0"/>
                <w:sz w:val="20"/>
                <w:szCs w:val="20"/>
              </w:rPr>
              <w:t>负责人</w:t>
            </w:r>
          </w:p>
        </w:tc>
        <w:tc>
          <w:tcPr>
            <w:tcW w:w="5305" w:type="dxa"/>
            <w:gridSpan w:val="2"/>
            <w:vAlign w:val="center"/>
          </w:tcPr>
          <w:p w14:paraId="4C70ADF8">
            <w:pPr>
              <w:spacing w:line="300" w:lineRule="auto"/>
              <w:ind w:right="125" w:rightChars="39"/>
              <w:jc w:val="both"/>
              <w:rPr>
                <w:rFonts w:ascii="Times New Roman Regular" w:hAnsi="Times New Roman Regular" w:cs="Times New Roman Regular"/>
                <w:b w:val="0"/>
                <w:bCs w:val="0"/>
                <w:sz w:val="20"/>
                <w:szCs w:val="20"/>
              </w:rPr>
            </w:pPr>
            <w:r>
              <w:rPr>
                <w:rFonts w:ascii="Times New Roman Regular" w:hAnsi="Times New Roman Regular" w:cs="Times New Roman Regular"/>
                <w:b w:val="0"/>
                <w:bCs w:val="0"/>
                <w:sz w:val="20"/>
                <w:szCs w:val="20"/>
              </w:rPr>
              <w:t>赛区安全负责人及电话：</w:t>
            </w:r>
          </w:p>
        </w:tc>
        <w:tc>
          <w:tcPr>
            <w:tcW w:w="1355" w:type="dxa"/>
            <w:vAlign w:val="center"/>
          </w:tcPr>
          <w:p w14:paraId="28B3DACC">
            <w:pPr>
              <w:spacing w:line="300" w:lineRule="auto"/>
              <w:ind w:right="269" w:rightChars="84"/>
              <w:rPr>
                <w:rFonts w:ascii="Times New Roman Regular" w:hAnsi="Times New Roman Regular" w:cs="Times New Roman Regular"/>
                <w:b w:val="0"/>
                <w:bCs w:val="0"/>
                <w:snapToGrid/>
                <w:sz w:val="20"/>
                <w:szCs w:val="20"/>
              </w:rPr>
            </w:pPr>
            <w:r>
              <w:rPr>
                <w:rFonts w:ascii="Times New Roman Regular" w:hAnsi="Times New Roman Regular" w:cs="Times New Roman Regular"/>
                <w:b w:val="0"/>
                <w:bCs w:val="0"/>
                <w:sz w:val="20"/>
                <w:szCs w:val="20"/>
              </w:rPr>
              <w:t>事件等级</w:t>
            </w:r>
          </w:p>
        </w:tc>
        <w:tc>
          <w:tcPr>
            <w:tcW w:w="1260" w:type="dxa"/>
            <w:vAlign w:val="center"/>
          </w:tcPr>
          <w:p w14:paraId="3643FB11">
            <w:pPr>
              <w:spacing w:line="300" w:lineRule="auto"/>
              <w:ind w:right="141" w:rightChars="44"/>
              <w:rPr>
                <w:rFonts w:ascii="Times New Roman Regular" w:hAnsi="Times New Roman Regular" w:cs="Times New Roman Regular"/>
                <w:b w:val="0"/>
                <w:bCs w:val="0"/>
                <w:sz w:val="20"/>
                <w:szCs w:val="20"/>
              </w:rPr>
            </w:pPr>
            <w:r>
              <w:rPr>
                <w:rFonts w:ascii="Times New Roman Regular" w:hAnsi="Times New Roman Regular" w:cs="Times New Roman Regular"/>
                <w:b w:val="0"/>
                <w:bCs w:val="0"/>
                <w:sz w:val="20"/>
                <w:szCs w:val="20"/>
              </w:rPr>
              <w:t>一级</w:t>
            </w:r>
          </w:p>
        </w:tc>
      </w:tr>
      <w:tr w14:paraId="0EF648F5">
        <w:tblPrEx>
          <w:tblBorders>
            <w:top w:val="double" w:color="000000" w:sz="6" w:space="0"/>
            <w:left w:val="double" w:color="000000" w:sz="6" w:space="0"/>
            <w:bottom w:val="double" w:color="000000" w:sz="6" w:space="0"/>
            <w:right w:val="double" w:color="000000" w:sz="6" w:space="0"/>
            <w:insideH w:val="double" w:color="000000" w:sz="6" w:space="0"/>
            <w:insideV w:val="single" w:color="000000" w:sz="6" w:space="0"/>
          </w:tblBorders>
          <w:tblCellMar>
            <w:top w:w="0" w:type="dxa"/>
            <w:left w:w="108" w:type="dxa"/>
            <w:bottom w:w="0" w:type="dxa"/>
            <w:right w:w="108" w:type="dxa"/>
          </w:tblCellMar>
        </w:tblPrEx>
        <w:trPr>
          <w:trHeight w:val="788" w:hRule="atLeast"/>
          <w:jc w:val="center"/>
        </w:trPr>
        <w:tc>
          <w:tcPr>
            <w:tcW w:w="1188" w:type="dxa"/>
            <w:vAlign w:val="center"/>
          </w:tcPr>
          <w:p w14:paraId="0791649F">
            <w:pPr>
              <w:spacing w:line="300" w:lineRule="auto"/>
              <w:rPr>
                <w:rFonts w:ascii="Times New Roman Regular" w:hAnsi="Times New Roman Regular" w:cs="Times New Roman Regular"/>
                <w:b w:val="0"/>
                <w:bCs w:val="0"/>
                <w:sz w:val="20"/>
                <w:szCs w:val="20"/>
              </w:rPr>
            </w:pPr>
            <w:r>
              <w:rPr>
                <w:rFonts w:ascii="Times New Roman Regular" w:hAnsi="Times New Roman Regular" w:cs="Times New Roman Regular"/>
                <w:b w:val="0"/>
                <w:bCs w:val="0"/>
                <w:sz w:val="20"/>
                <w:szCs w:val="20"/>
              </w:rPr>
              <w:t>情景假设</w:t>
            </w:r>
          </w:p>
        </w:tc>
        <w:tc>
          <w:tcPr>
            <w:tcW w:w="7920" w:type="dxa"/>
            <w:gridSpan w:val="4"/>
            <w:vAlign w:val="center"/>
          </w:tcPr>
          <w:p w14:paraId="3A93248B">
            <w:pPr>
              <w:spacing w:line="300" w:lineRule="auto"/>
              <w:jc w:val="both"/>
              <w:rPr>
                <w:rFonts w:ascii="Times New Roman Regular" w:hAnsi="Times New Roman Regular" w:cs="Times New Roman Regular"/>
                <w:b w:val="0"/>
                <w:bCs w:val="0"/>
                <w:sz w:val="20"/>
                <w:szCs w:val="20"/>
              </w:rPr>
            </w:pPr>
            <w:r>
              <w:rPr>
                <w:rFonts w:ascii="Times New Roman Regular" w:hAnsi="Times New Roman Regular" w:cs="Times New Roman Regular"/>
                <w:b w:val="0"/>
                <w:bCs w:val="0"/>
                <w:sz w:val="20"/>
                <w:szCs w:val="20"/>
              </w:rPr>
              <w:t>比赛时，运动员突然受伤，或运动员患急病（心梗</w:t>
            </w:r>
            <w:r>
              <w:rPr>
                <w:rFonts w:hint="eastAsia" w:ascii="Times New Roman Regular" w:hAnsi="Times New Roman Regular" w:cs="Times New Roman Regular"/>
                <w:b w:val="0"/>
                <w:bCs w:val="0"/>
                <w:sz w:val="20"/>
                <w:szCs w:val="20"/>
              </w:rPr>
              <w:t>、</w:t>
            </w:r>
            <w:r>
              <w:rPr>
                <w:rFonts w:ascii="Times New Roman Regular" w:hAnsi="Times New Roman Regular" w:cs="Times New Roman Regular"/>
                <w:b w:val="0"/>
                <w:bCs w:val="0"/>
                <w:sz w:val="20"/>
                <w:szCs w:val="20"/>
              </w:rPr>
              <w:t>卒中</w:t>
            </w:r>
            <w:r>
              <w:rPr>
                <w:rFonts w:hint="eastAsia" w:ascii="Times New Roman Regular" w:hAnsi="Times New Roman Regular" w:cs="Times New Roman Regular"/>
                <w:b w:val="0"/>
                <w:bCs w:val="0"/>
                <w:sz w:val="20"/>
                <w:szCs w:val="20"/>
              </w:rPr>
              <w:t>、急性疾病等</w:t>
            </w:r>
            <w:r>
              <w:rPr>
                <w:rFonts w:ascii="Times New Roman Regular" w:hAnsi="Times New Roman Regular" w:cs="Times New Roman Regular"/>
                <w:b w:val="0"/>
                <w:bCs w:val="0"/>
                <w:sz w:val="20"/>
                <w:szCs w:val="20"/>
              </w:rPr>
              <w:t>），需要离场急救，无法继续参加本场比赛。</w:t>
            </w:r>
          </w:p>
        </w:tc>
      </w:tr>
      <w:tr w14:paraId="726F3330">
        <w:tblPrEx>
          <w:tblBorders>
            <w:top w:val="double" w:color="000000" w:sz="6" w:space="0"/>
            <w:left w:val="double" w:color="000000" w:sz="6" w:space="0"/>
            <w:bottom w:val="double" w:color="000000" w:sz="6" w:space="0"/>
            <w:right w:val="double" w:color="000000" w:sz="6" w:space="0"/>
            <w:insideH w:val="double" w:color="000000" w:sz="6" w:space="0"/>
            <w:insideV w:val="single" w:color="000000" w:sz="6" w:space="0"/>
          </w:tblBorders>
          <w:tblCellMar>
            <w:top w:w="0" w:type="dxa"/>
            <w:left w:w="108" w:type="dxa"/>
            <w:bottom w:w="0" w:type="dxa"/>
            <w:right w:w="108" w:type="dxa"/>
          </w:tblCellMar>
        </w:tblPrEx>
        <w:trPr>
          <w:trHeight w:val="788" w:hRule="atLeast"/>
          <w:jc w:val="center"/>
        </w:trPr>
        <w:tc>
          <w:tcPr>
            <w:tcW w:w="1188" w:type="dxa"/>
            <w:vAlign w:val="center"/>
          </w:tcPr>
          <w:p w14:paraId="7E7F1660">
            <w:pPr>
              <w:spacing w:line="300" w:lineRule="auto"/>
              <w:rPr>
                <w:rFonts w:ascii="Times New Roman Regular" w:hAnsi="Times New Roman Regular" w:cs="Times New Roman Regular"/>
                <w:b w:val="0"/>
                <w:bCs w:val="0"/>
                <w:sz w:val="20"/>
                <w:szCs w:val="20"/>
              </w:rPr>
            </w:pPr>
            <w:r>
              <w:rPr>
                <w:rFonts w:ascii="Times New Roman Regular" w:hAnsi="Times New Roman Regular" w:cs="Times New Roman Regular"/>
                <w:b w:val="0"/>
                <w:bCs w:val="0"/>
                <w:sz w:val="20"/>
                <w:szCs w:val="20"/>
              </w:rPr>
              <w:t>上报流程</w:t>
            </w:r>
          </w:p>
        </w:tc>
        <w:tc>
          <w:tcPr>
            <w:tcW w:w="7920" w:type="dxa"/>
            <w:gridSpan w:val="4"/>
            <w:vAlign w:val="center"/>
          </w:tcPr>
          <w:p w14:paraId="79C34D5B">
            <w:pPr>
              <w:spacing w:line="300" w:lineRule="auto"/>
              <w:ind w:right="125" w:rightChars="39"/>
              <w:jc w:val="both"/>
              <w:rPr>
                <w:rFonts w:ascii="Times New Roman Regular" w:hAnsi="Times New Roman Regular" w:cs="Times New Roman Regular"/>
                <w:b w:val="0"/>
                <w:bCs w:val="0"/>
                <w:sz w:val="20"/>
                <w:szCs w:val="20"/>
              </w:rPr>
            </w:pPr>
            <w:r>
              <w:rPr>
                <w:rFonts w:ascii="Times New Roman Regular" w:hAnsi="Times New Roman Regular" w:cs="Times New Roman Regular"/>
                <w:b w:val="0"/>
                <w:bCs w:val="0"/>
                <w:sz w:val="20"/>
                <w:szCs w:val="20"/>
              </w:rPr>
              <w:t>1、临场裁判员/比赛监督（姓名、电话</w:t>
            </w:r>
            <w:r>
              <w:rPr>
                <w:rFonts w:hint="eastAsia" w:ascii="Times New Roman Regular" w:hAnsi="Times New Roman Regular" w:cs="Times New Roman Regular"/>
                <w:b w:val="0"/>
                <w:bCs w:val="0"/>
                <w:sz w:val="20"/>
                <w:szCs w:val="20"/>
              </w:rPr>
              <w:t>）</w:t>
            </w:r>
            <w:r>
              <w:rPr>
                <w:rFonts w:ascii="Times New Roman Regular" w:hAnsi="Times New Roman Regular" w:cs="Times New Roman Regular"/>
                <w:b w:val="0"/>
                <w:bCs w:val="0"/>
                <w:sz w:val="20"/>
                <w:szCs w:val="20"/>
              </w:rPr>
              <w:t xml:space="preserve">：              </w:t>
            </w:r>
          </w:p>
          <w:p w14:paraId="6A372E70">
            <w:pPr>
              <w:spacing w:line="300" w:lineRule="auto"/>
              <w:ind w:right="125" w:rightChars="39"/>
              <w:jc w:val="both"/>
              <w:rPr>
                <w:rFonts w:ascii="Times New Roman Regular" w:hAnsi="Times New Roman Regular" w:cs="Times New Roman Regular"/>
                <w:b w:val="0"/>
                <w:bCs w:val="0"/>
                <w:sz w:val="20"/>
                <w:szCs w:val="20"/>
              </w:rPr>
            </w:pPr>
            <w:r>
              <w:rPr>
                <w:rFonts w:ascii="Times New Roman Regular" w:hAnsi="Times New Roman Regular" w:cs="Times New Roman Regular"/>
                <w:b w:val="0"/>
                <w:bCs w:val="0"/>
                <w:sz w:val="20"/>
                <w:szCs w:val="20"/>
              </w:rPr>
              <w:t>2、赛区竞赛负责人（姓名、电话</w:t>
            </w:r>
            <w:r>
              <w:rPr>
                <w:rFonts w:hint="eastAsia" w:ascii="Times New Roman Regular" w:hAnsi="Times New Roman Regular" w:cs="Times New Roman Regular"/>
                <w:b w:val="0"/>
                <w:bCs w:val="0"/>
                <w:sz w:val="20"/>
                <w:szCs w:val="20"/>
              </w:rPr>
              <w:t>）</w:t>
            </w:r>
            <w:r>
              <w:rPr>
                <w:rFonts w:ascii="Times New Roman Regular" w:hAnsi="Times New Roman Regular" w:cs="Times New Roman Regular"/>
                <w:b w:val="0"/>
                <w:bCs w:val="0"/>
                <w:sz w:val="20"/>
                <w:szCs w:val="20"/>
              </w:rPr>
              <w:t xml:space="preserve">：                 </w:t>
            </w:r>
          </w:p>
          <w:p w14:paraId="6965C708">
            <w:pPr>
              <w:spacing w:line="300" w:lineRule="auto"/>
              <w:ind w:right="125" w:rightChars="39"/>
              <w:jc w:val="both"/>
              <w:rPr>
                <w:rFonts w:ascii="Times New Roman Regular" w:hAnsi="Times New Roman Regular" w:cs="Times New Roman Regular"/>
                <w:b w:val="0"/>
                <w:bCs w:val="0"/>
                <w:sz w:val="20"/>
                <w:szCs w:val="20"/>
              </w:rPr>
            </w:pPr>
            <w:r>
              <w:rPr>
                <w:rFonts w:ascii="Times New Roman Regular" w:hAnsi="Times New Roman Regular" w:cs="Times New Roman Regular"/>
                <w:b w:val="0"/>
                <w:bCs w:val="0"/>
                <w:sz w:val="20"/>
                <w:szCs w:val="20"/>
              </w:rPr>
              <w:t>3、医疗负责人（姓名、电话</w:t>
            </w:r>
            <w:r>
              <w:rPr>
                <w:rFonts w:hint="eastAsia" w:ascii="Times New Roman Regular" w:hAnsi="Times New Roman Regular" w:cs="Times New Roman Regular"/>
                <w:b w:val="0"/>
                <w:bCs w:val="0"/>
                <w:sz w:val="20"/>
                <w:szCs w:val="20"/>
              </w:rPr>
              <w:t>）</w:t>
            </w:r>
            <w:r>
              <w:rPr>
                <w:rFonts w:ascii="Times New Roman Regular" w:hAnsi="Times New Roman Regular" w:cs="Times New Roman Regular"/>
                <w:b w:val="0"/>
                <w:bCs w:val="0"/>
                <w:sz w:val="20"/>
                <w:szCs w:val="20"/>
              </w:rPr>
              <w:t xml:space="preserve">：                  </w:t>
            </w:r>
          </w:p>
          <w:p w14:paraId="1B09C28A">
            <w:pPr>
              <w:spacing w:line="300" w:lineRule="auto"/>
              <w:ind w:right="125" w:rightChars="39"/>
              <w:jc w:val="both"/>
              <w:rPr>
                <w:rFonts w:ascii="Times New Roman Regular" w:hAnsi="Times New Roman Regular" w:cs="Times New Roman Regular"/>
                <w:b w:val="0"/>
                <w:bCs w:val="0"/>
                <w:sz w:val="20"/>
                <w:szCs w:val="20"/>
              </w:rPr>
            </w:pPr>
            <w:r>
              <w:rPr>
                <w:rFonts w:ascii="Times New Roman Regular" w:hAnsi="Times New Roman Regular" w:cs="Times New Roman Regular"/>
                <w:b w:val="0"/>
                <w:bCs w:val="0"/>
                <w:sz w:val="20"/>
                <w:szCs w:val="20"/>
              </w:rPr>
              <w:t>4、交通负责人（姓名、电话</w:t>
            </w:r>
            <w:r>
              <w:rPr>
                <w:rFonts w:hint="eastAsia" w:ascii="Times New Roman Regular" w:hAnsi="Times New Roman Regular" w:cs="Times New Roman Regular"/>
                <w:b w:val="0"/>
                <w:bCs w:val="0"/>
                <w:sz w:val="20"/>
                <w:szCs w:val="20"/>
              </w:rPr>
              <w:t>）</w:t>
            </w:r>
            <w:r>
              <w:rPr>
                <w:rFonts w:ascii="Times New Roman Regular" w:hAnsi="Times New Roman Regular" w:cs="Times New Roman Regular"/>
                <w:b w:val="0"/>
                <w:bCs w:val="0"/>
                <w:sz w:val="20"/>
                <w:szCs w:val="20"/>
              </w:rPr>
              <w:t xml:space="preserve">：                  </w:t>
            </w:r>
          </w:p>
          <w:p w14:paraId="3DE0EEE0">
            <w:pPr>
              <w:spacing w:line="300" w:lineRule="auto"/>
              <w:jc w:val="both"/>
              <w:rPr>
                <w:rFonts w:ascii="Times New Roman Regular" w:hAnsi="Times New Roman Regular" w:cs="Times New Roman Regular"/>
                <w:b w:val="0"/>
                <w:bCs w:val="0"/>
                <w:sz w:val="20"/>
                <w:szCs w:val="20"/>
              </w:rPr>
            </w:pPr>
            <w:r>
              <w:rPr>
                <w:rFonts w:ascii="Times New Roman Regular" w:hAnsi="Times New Roman Regular" w:cs="Times New Roman Regular"/>
                <w:b w:val="0"/>
                <w:bCs w:val="0"/>
                <w:sz w:val="20"/>
                <w:szCs w:val="20"/>
              </w:rPr>
              <w:t>5、组委会领导（姓名、电话</w:t>
            </w:r>
            <w:r>
              <w:rPr>
                <w:rFonts w:hint="eastAsia" w:ascii="Times New Roman Regular" w:hAnsi="Times New Roman Regular" w:cs="Times New Roman Regular"/>
                <w:b w:val="0"/>
                <w:bCs w:val="0"/>
                <w:sz w:val="20"/>
                <w:szCs w:val="20"/>
              </w:rPr>
              <w:t>）</w:t>
            </w:r>
            <w:r>
              <w:rPr>
                <w:rFonts w:ascii="Times New Roman Regular" w:hAnsi="Times New Roman Regular" w:cs="Times New Roman Regular"/>
                <w:b w:val="0"/>
                <w:bCs w:val="0"/>
                <w:sz w:val="20"/>
                <w:szCs w:val="20"/>
              </w:rPr>
              <w:t xml:space="preserve">：                  </w:t>
            </w:r>
          </w:p>
        </w:tc>
      </w:tr>
      <w:tr w14:paraId="29AB6C92">
        <w:tblPrEx>
          <w:tblBorders>
            <w:top w:val="double" w:color="000000" w:sz="6" w:space="0"/>
            <w:left w:val="double" w:color="000000" w:sz="6" w:space="0"/>
            <w:bottom w:val="double" w:color="000000" w:sz="6" w:space="0"/>
            <w:right w:val="double" w:color="000000" w:sz="6" w:space="0"/>
            <w:insideH w:val="double" w:color="000000" w:sz="6" w:space="0"/>
            <w:insideV w:val="single" w:color="000000" w:sz="6" w:space="0"/>
          </w:tblBorders>
          <w:tblCellMar>
            <w:top w:w="0" w:type="dxa"/>
            <w:left w:w="108" w:type="dxa"/>
            <w:bottom w:w="0" w:type="dxa"/>
            <w:right w:w="108" w:type="dxa"/>
          </w:tblCellMar>
        </w:tblPrEx>
        <w:trPr>
          <w:trHeight w:val="415" w:hRule="atLeast"/>
          <w:jc w:val="center"/>
        </w:trPr>
        <w:tc>
          <w:tcPr>
            <w:tcW w:w="1188" w:type="dxa"/>
            <w:vAlign w:val="center"/>
          </w:tcPr>
          <w:p w14:paraId="3FC07DA0">
            <w:pPr>
              <w:spacing w:line="300" w:lineRule="auto"/>
              <w:rPr>
                <w:rFonts w:ascii="Times New Roman Regular" w:hAnsi="Times New Roman Regular" w:cs="Times New Roman Regular"/>
                <w:b w:val="0"/>
                <w:bCs w:val="0"/>
                <w:sz w:val="20"/>
                <w:szCs w:val="20"/>
              </w:rPr>
            </w:pPr>
            <w:r>
              <w:rPr>
                <w:rFonts w:ascii="Times New Roman Regular" w:hAnsi="Times New Roman Regular" w:cs="Times New Roman Regular"/>
                <w:b w:val="0"/>
                <w:bCs w:val="0"/>
                <w:sz w:val="20"/>
                <w:szCs w:val="20"/>
              </w:rPr>
              <w:t>预案依据</w:t>
            </w:r>
          </w:p>
        </w:tc>
        <w:tc>
          <w:tcPr>
            <w:tcW w:w="7920" w:type="dxa"/>
            <w:gridSpan w:val="4"/>
            <w:vAlign w:val="center"/>
          </w:tcPr>
          <w:p w14:paraId="1E9DA4D2">
            <w:pPr>
              <w:spacing w:line="300" w:lineRule="auto"/>
              <w:ind w:firstLine="400" w:firstLineChars="200"/>
              <w:jc w:val="both"/>
              <w:rPr>
                <w:rFonts w:ascii="Times New Roman Regular" w:hAnsi="Times New Roman Regular" w:cs="Times New Roman Regular"/>
                <w:b w:val="0"/>
                <w:bCs w:val="0"/>
                <w:sz w:val="20"/>
                <w:szCs w:val="20"/>
              </w:rPr>
            </w:pPr>
            <w:r>
              <w:rPr>
                <w:rFonts w:ascii="Times New Roman Regular" w:hAnsi="Times New Roman Regular" w:cs="Times New Roman Regular"/>
                <w:b w:val="0"/>
                <w:bCs w:val="0"/>
                <w:sz w:val="20"/>
                <w:szCs w:val="20"/>
              </w:rPr>
              <w:t>依据赛事竞赛规程、安全应急预案等规则及工作程序</w:t>
            </w:r>
          </w:p>
        </w:tc>
      </w:tr>
      <w:tr w14:paraId="6955F429">
        <w:tblPrEx>
          <w:tblBorders>
            <w:top w:val="double" w:color="000000" w:sz="6" w:space="0"/>
            <w:left w:val="double" w:color="000000" w:sz="6" w:space="0"/>
            <w:bottom w:val="double" w:color="000000" w:sz="6" w:space="0"/>
            <w:right w:val="double" w:color="000000" w:sz="6" w:space="0"/>
            <w:insideH w:val="double" w:color="000000" w:sz="6" w:space="0"/>
            <w:insideV w:val="single" w:color="000000" w:sz="6" w:space="0"/>
          </w:tblBorders>
          <w:tblCellMar>
            <w:top w:w="0" w:type="dxa"/>
            <w:left w:w="108" w:type="dxa"/>
            <w:bottom w:w="0" w:type="dxa"/>
            <w:right w:w="108" w:type="dxa"/>
          </w:tblCellMar>
        </w:tblPrEx>
        <w:trPr>
          <w:trHeight w:val="463" w:hRule="atLeast"/>
          <w:jc w:val="center"/>
        </w:trPr>
        <w:tc>
          <w:tcPr>
            <w:tcW w:w="1188" w:type="dxa"/>
            <w:vMerge w:val="restart"/>
            <w:vAlign w:val="center"/>
          </w:tcPr>
          <w:p w14:paraId="787E3D81">
            <w:pPr>
              <w:spacing w:line="300" w:lineRule="auto"/>
              <w:rPr>
                <w:rFonts w:ascii="Times New Roman Regular" w:hAnsi="Times New Roman Regular" w:cs="Times New Roman Regular"/>
                <w:b w:val="0"/>
                <w:bCs w:val="0"/>
                <w:sz w:val="20"/>
                <w:szCs w:val="20"/>
              </w:rPr>
            </w:pPr>
            <w:r>
              <w:rPr>
                <w:rFonts w:ascii="Times New Roman Regular" w:hAnsi="Times New Roman Regular" w:cs="Times New Roman Regular"/>
                <w:b w:val="0"/>
                <w:bCs w:val="0"/>
                <w:sz w:val="20"/>
                <w:szCs w:val="20"/>
              </w:rPr>
              <w:t>应</w:t>
            </w:r>
          </w:p>
          <w:p w14:paraId="2EA2E411">
            <w:pPr>
              <w:spacing w:line="300" w:lineRule="auto"/>
              <w:rPr>
                <w:rFonts w:ascii="Times New Roman Regular" w:hAnsi="Times New Roman Regular" w:cs="Times New Roman Regular"/>
                <w:b w:val="0"/>
                <w:bCs w:val="0"/>
                <w:sz w:val="20"/>
                <w:szCs w:val="20"/>
              </w:rPr>
            </w:pPr>
            <w:r>
              <w:rPr>
                <w:rFonts w:ascii="Times New Roman Regular" w:hAnsi="Times New Roman Regular" w:cs="Times New Roman Regular"/>
                <w:b w:val="0"/>
                <w:bCs w:val="0"/>
                <w:sz w:val="20"/>
                <w:szCs w:val="20"/>
              </w:rPr>
              <w:t>对</w:t>
            </w:r>
          </w:p>
          <w:p w14:paraId="5B474558">
            <w:pPr>
              <w:spacing w:line="300" w:lineRule="auto"/>
              <w:rPr>
                <w:rFonts w:ascii="Times New Roman Regular" w:hAnsi="Times New Roman Regular" w:cs="Times New Roman Regular"/>
                <w:b w:val="0"/>
                <w:bCs w:val="0"/>
                <w:sz w:val="20"/>
                <w:szCs w:val="20"/>
              </w:rPr>
            </w:pPr>
            <w:r>
              <w:rPr>
                <w:rFonts w:ascii="Times New Roman Regular" w:hAnsi="Times New Roman Regular" w:cs="Times New Roman Regular"/>
                <w:b w:val="0"/>
                <w:bCs w:val="0"/>
                <w:sz w:val="20"/>
                <w:szCs w:val="20"/>
              </w:rPr>
              <w:t>预</w:t>
            </w:r>
          </w:p>
          <w:p w14:paraId="726B180E">
            <w:pPr>
              <w:spacing w:line="300" w:lineRule="auto"/>
              <w:rPr>
                <w:rFonts w:ascii="Times New Roman Regular" w:hAnsi="Times New Roman Regular" w:cs="Times New Roman Regular"/>
                <w:b w:val="0"/>
                <w:bCs w:val="0"/>
                <w:sz w:val="20"/>
                <w:szCs w:val="20"/>
              </w:rPr>
            </w:pPr>
            <w:r>
              <w:rPr>
                <w:rFonts w:ascii="Times New Roman Regular" w:hAnsi="Times New Roman Regular" w:cs="Times New Roman Regular"/>
                <w:b w:val="0"/>
                <w:bCs w:val="0"/>
                <w:sz w:val="20"/>
                <w:szCs w:val="20"/>
              </w:rPr>
              <w:t>案</w:t>
            </w:r>
          </w:p>
        </w:tc>
        <w:tc>
          <w:tcPr>
            <w:tcW w:w="3960" w:type="dxa"/>
            <w:vAlign w:val="center"/>
          </w:tcPr>
          <w:p w14:paraId="3CED50BA">
            <w:pPr>
              <w:spacing w:line="300" w:lineRule="auto"/>
              <w:rPr>
                <w:rFonts w:ascii="Times New Roman Regular" w:hAnsi="Times New Roman Regular" w:cs="Times New Roman Regular"/>
                <w:b w:val="0"/>
                <w:bCs w:val="0"/>
                <w:sz w:val="20"/>
                <w:szCs w:val="20"/>
              </w:rPr>
            </w:pPr>
            <w:r>
              <w:rPr>
                <w:rFonts w:ascii="Times New Roman Regular" w:hAnsi="Times New Roman Regular" w:cs="Times New Roman Regular"/>
                <w:b w:val="0"/>
                <w:bCs w:val="0"/>
                <w:sz w:val="20"/>
                <w:szCs w:val="20"/>
              </w:rPr>
              <w:t>应对步骤</w:t>
            </w:r>
          </w:p>
        </w:tc>
        <w:tc>
          <w:tcPr>
            <w:tcW w:w="1345" w:type="dxa"/>
            <w:vAlign w:val="center"/>
          </w:tcPr>
          <w:p w14:paraId="1537320F">
            <w:pPr>
              <w:spacing w:line="300" w:lineRule="auto"/>
              <w:ind w:right="125" w:rightChars="39"/>
              <w:rPr>
                <w:rFonts w:ascii="Times New Roman Regular" w:hAnsi="Times New Roman Regular" w:cs="Times New Roman Regular"/>
                <w:b w:val="0"/>
                <w:bCs w:val="0"/>
                <w:sz w:val="20"/>
                <w:szCs w:val="20"/>
              </w:rPr>
            </w:pPr>
            <w:r>
              <w:rPr>
                <w:rFonts w:ascii="Times New Roman Regular" w:hAnsi="Times New Roman Regular" w:cs="Times New Roman Regular"/>
                <w:b w:val="0"/>
                <w:bCs w:val="0"/>
                <w:sz w:val="20"/>
                <w:szCs w:val="20"/>
              </w:rPr>
              <w:t>主责单位</w:t>
            </w:r>
          </w:p>
        </w:tc>
        <w:tc>
          <w:tcPr>
            <w:tcW w:w="1355" w:type="dxa"/>
            <w:vAlign w:val="center"/>
          </w:tcPr>
          <w:p w14:paraId="2A8DF1A2">
            <w:pPr>
              <w:spacing w:line="300" w:lineRule="auto"/>
              <w:ind w:right="269" w:rightChars="84"/>
              <w:rPr>
                <w:rFonts w:ascii="Times New Roman Regular" w:hAnsi="Times New Roman Regular" w:cs="Times New Roman Regular"/>
                <w:b w:val="0"/>
                <w:bCs w:val="0"/>
                <w:snapToGrid/>
                <w:sz w:val="20"/>
                <w:szCs w:val="20"/>
              </w:rPr>
            </w:pPr>
            <w:r>
              <w:rPr>
                <w:rFonts w:ascii="Times New Roman Regular" w:hAnsi="Times New Roman Regular" w:cs="Times New Roman Regular"/>
                <w:b w:val="0"/>
                <w:bCs w:val="0"/>
                <w:sz w:val="20"/>
                <w:szCs w:val="20"/>
              </w:rPr>
              <w:t>配合单位</w:t>
            </w:r>
          </w:p>
        </w:tc>
        <w:tc>
          <w:tcPr>
            <w:tcW w:w="1260" w:type="dxa"/>
            <w:vAlign w:val="center"/>
          </w:tcPr>
          <w:p w14:paraId="76D04469">
            <w:pPr>
              <w:spacing w:line="300" w:lineRule="auto"/>
              <w:ind w:right="141" w:rightChars="44"/>
              <w:rPr>
                <w:rFonts w:ascii="Times New Roman Regular" w:hAnsi="Times New Roman Regular" w:cs="Times New Roman Regular"/>
                <w:b w:val="0"/>
                <w:bCs w:val="0"/>
                <w:sz w:val="20"/>
                <w:szCs w:val="20"/>
              </w:rPr>
            </w:pPr>
            <w:r>
              <w:rPr>
                <w:rFonts w:ascii="Times New Roman Regular" w:hAnsi="Times New Roman Regular" w:cs="Times New Roman Regular"/>
                <w:b w:val="0"/>
                <w:bCs w:val="0"/>
                <w:sz w:val="20"/>
                <w:szCs w:val="20"/>
              </w:rPr>
              <w:t>资源需求</w:t>
            </w:r>
          </w:p>
        </w:tc>
      </w:tr>
      <w:tr w14:paraId="6221E2E1">
        <w:tblPrEx>
          <w:tblBorders>
            <w:top w:val="double" w:color="000000" w:sz="6" w:space="0"/>
            <w:left w:val="double" w:color="000000" w:sz="6" w:space="0"/>
            <w:bottom w:val="double" w:color="000000" w:sz="6" w:space="0"/>
            <w:right w:val="double" w:color="000000" w:sz="6" w:space="0"/>
            <w:insideH w:val="double" w:color="000000" w:sz="6" w:space="0"/>
            <w:insideV w:val="single" w:color="000000" w:sz="6" w:space="0"/>
          </w:tblBorders>
          <w:tblCellMar>
            <w:top w:w="0" w:type="dxa"/>
            <w:left w:w="108" w:type="dxa"/>
            <w:bottom w:w="0" w:type="dxa"/>
            <w:right w:w="108" w:type="dxa"/>
          </w:tblCellMar>
        </w:tblPrEx>
        <w:trPr>
          <w:trHeight w:val="1311" w:hRule="atLeast"/>
          <w:jc w:val="center"/>
        </w:trPr>
        <w:tc>
          <w:tcPr>
            <w:tcW w:w="1188" w:type="dxa"/>
            <w:vMerge w:val="continue"/>
            <w:vAlign w:val="center"/>
          </w:tcPr>
          <w:p w14:paraId="083232D2">
            <w:pPr>
              <w:rPr>
                <w:rFonts w:ascii="Times New Roman Regular" w:hAnsi="Times New Roman Regular" w:cs="Times New Roman Regular"/>
                <w:b w:val="0"/>
                <w:bCs w:val="0"/>
                <w:sz w:val="20"/>
                <w:szCs w:val="20"/>
              </w:rPr>
            </w:pPr>
          </w:p>
        </w:tc>
        <w:tc>
          <w:tcPr>
            <w:tcW w:w="3960" w:type="dxa"/>
            <w:vAlign w:val="center"/>
          </w:tcPr>
          <w:p w14:paraId="62F7BE4E">
            <w:pPr>
              <w:spacing w:line="300" w:lineRule="auto"/>
              <w:jc w:val="both"/>
              <w:rPr>
                <w:rFonts w:ascii="Times New Roman Regular" w:hAnsi="Times New Roman Regular" w:cs="Times New Roman Regular"/>
                <w:b w:val="0"/>
                <w:bCs w:val="0"/>
                <w:sz w:val="20"/>
                <w:szCs w:val="20"/>
              </w:rPr>
            </w:pPr>
            <w:r>
              <w:rPr>
                <w:rFonts w:ascii="Times New Roman Regular" w:hAnsi="Times New Roman Regular" w:cs="Times New Roman Regular"/>
                <w:b w:val="0"/>
                <w:bCs w:val="0"/>
                <w:sz w:val="20"/>
                <w:szCs w:val="20"/>
              </w:rPr>
              <w:t>1、比赛时，运动员突然受伤或患急病而不能继续比赛，由裁判员通知队医和医疗急救（入场急救）。</w:t>
            </w:r>
          </w:p>
        </w:tc>
        <w:tc>
          <w:tcPr>
            <w:tcW w:w="1345" w:type="dxa"/>
            <w:vAlign w:val="center"/>
          </w:tcPr>
          <w:p w14:paraId="24F21D5C">
            <w:pPr>
              <w:spacing w:line="300" w:lineRule="auto"/>
              <w:ind w:right="125" w:rightChars="39"/>
              <w:rPr>
                <w:rFonts w:ascii="Times New Roman Regular" w:hAnsi="Times New Roman Regular" w:cs="Times New Roman Regular"/>
                <w:b w:val="0"/>
                <w:bCs w:val="0"/>
                <w:sz w:val="20"/>
                <w:szCs w:val="20"/>
              </w:rPr>
            </w:pPr>
            <w:r>
              <w:rPr>
                <w:rFonts w:ascii="Times New Roman Regular" w:hAnsi="Times New Roman Regular" w:cs="Times New Roman Regular"/>
                <w:b w:val="0"/>
                <w:bCs w:val="0"/>
                <w:sz w:val="20"/>
                <w:szCs w:val="20"/>
              </w:rPr>
              <w:t>医疗</w:t>
            </w:r>
          </w:p>
        </w:tc>
        <w:tc>
          <w:tcPr>
            <w:tcW w:w="1355" w:type="dxa"/>
            <w:vAlign w:val="center"/>
          </w:tcPr>
          <w:p w14:paraId="5C47B216">
            <w:pPr>
              <w:spacing w:line="300" w:lineRule="auto"/>
              <w:ind w:right="269" w:rightChars="84"/>
              <w:rPr>
                <w:rFonts w:ascii="Times New Roman Regular" w:hAnsi="Times New Roman Regular" w:cs="Times New Roman Regular"/>
                <w:b w:val="0"/>
                <w:bCs w:val="0"/>
                <w:snapToGrid/>
                <w:sz w:val="20"/>
                <w:szCs w:val="20"/>
              </w:rPr>
            </w:pPr>
            <w:r>
              <w:rPr>
                <w:rFonts w:ascii="Times New Roman Regular" w:hAnsi="Times New Roman Regular" w:cs="Times New Roman Regular"/>
                <w:b w:val="0"/>
                <w:bCs w:val="0"/>
                <w:sz w:val="20"/>
                <w:szCs w:val="20"/>
              </w:rPr>
              <w:t>竞赛</w:t>
            </w:r>
          </w:p>
          <w:p w14:paraId="3A0D0A51">
            <w:pPr>
              <w:spacing w:line="300" w:lineRule="auto"/>
              <w:ind w:right="125" w:rightChars="39"/>
              <w:rPr>
                <w:rFonts w:ascii="Times New Roman Regular" w:hAnsi="Times New Roman Regular" w:cs="Times New Roman Regular"/>
                <w:b w:val="0"/>
                <w:bCs w:val="0"/>
                <w:sz w:val="20"/>
                <w:szCs w:val="20"/>
              </w:rPr>
            </w:pPr>
            <w:r>
              <w:rPr>
                <w:rFonts w:ascii="Times New Roman Regular" w:hAnsi="Times New Roman Regular" w:cs="Times New Roman Regular"/>
                <w:b w:val="0"/>
                <w:bCs w:val="0"/>
                <w:sz w:val="20"/>
                <w:szCs w:val="20"/>
              </w:rPr>
              <w:t>所在球队</w:t>
            </w:r>
          </w:p>
        </w:tc>
        <w:tc>
          <w:tcPr>
            <w:tcW w:w="1260" w:type="dxa"/>
            <w:vAlign w:val="center"/>
          </w:tcPr>
          <w:p w14:paraId="6BC1B5B3">
            <w:pPr>
              <w:spacing w:line="300" w:lineRule="auto"/>
              <w:ind w:right="141" w:rightChars="44"/>
              <w:rPr>
                <w:rFonts w:ascii="Times New Roman Regular" w:hAnsi="Times New Roman Regular" w:cs="Times New Roman Regular"/>
                <w:b w:val="0"/>
                <w:bCs w:val="0"/>
                <w:sz w:val="20"/>
                <w:szCs w:val="20"/>
              </w:rPr>
            </w:pPr>
            <w:r>
              <w:rPr>
                <w:rFonts w:ascii="Times New Roman Regular" w:hAnsi="Times New Roman Regular" w:cs="Times New Roman Regular"/>
                <w:b w:val="0"/>
                <w:bCs w:val="0"/>
                <w:sz w:val="20"/>
                <w:szCs w:val="20"/>
              </w:rPr>
              <w:t>急救设施</w:t>
            </w:r>
          </w:p>
        </w:tc>
      </w:tr>
      <w:tr w14:paraId="0469C470">
        <w:tblPrEx>
          <w:tblBorders>
            <w:top w:val="double" w:color="000000" w:sz="6" w:space="0"/>
            <w:left w:val="double" w:color="000000" w:sz="6" w:space="0"/>
            <w:bottom w:val="double" w:color="000000" w:sz="6" w:space="0"/>
            <w:right w:val="double" w:color="000000" w:sz="6" w:space="0"/>
            <w:insideH w:val="double" w:color="000000" w:sz="6" w:space="0"/>
            <w:insideV w:val="single" w:color="000000" w:sz="6" w:space="0"/>
          </w:tblBorders>
          <w:tblCellMar>
            <w:top w:w="0" w:type="dxa"/>
            <w:left w:w="108" w:type="dxa"/>
            <w:bottom w:w="0" w:type="dxa"/>
            <w:right w:w="108" w:type="dxa"/>
          </w:tblCellMar>
        </w:tblPrEx>
        <w:trPr>
          <w:trHeight w:val="818" w:hRule="atLeast"/>
          <w:jc w:val="center"/>
        </w:trPr>
        <w:tc>
          <w:tcPr>
            <w:tcW w:w="1188" w:type="dxa"/>
            <w:vMerge w:val="continue"/>
            <w:vAlign w:val="center"/>
          </w:tcPr>
          <w:p w14:paraId="291977E6">
            <w:pPr>
              <w:rPr>
                <w:rFonts w:ascii="Times New Roman Regular" w:hAnsi="Times New Roman Regular" w:cs="Times New Roman Regular"/>
                <w:b w:val="0"/>
                <w:bCs w:val="0"/>
                <w:sz w:val="20"/>
                <w:szCs w:val="20"/>
              </w:rPr>
            </w:pPr>
          </w:p>
        </w:tc>
        <w:tc>
          <w:tcPr>
            <w:tcW w:w="3960" w:type="dxa"/>
            <w:vAlign w:val="center"/>
          </w:tcPr>
          <w:p w14:paraId="7BA40F22">
            <w:pPr>
              <w:numPr>
                <w:ilvl w:val="0"/>
                <w:numId w:val="2"/>
              </w:numPr>
              <w:spacing w:before="0" w:line="240" w:lineRule="auto"/>
              <w:jc w:val="both"/>
              <w:rPr>
                <w:rFonts w:ascii="Times New Roman Regular" w:hAnsi="Times New Roman Regular" w:cs="Times New Roman Regular"/>
                <w:b w:val="0"/>
                <w:bCs w:val="0"/>
                <w:sz w:val="20"/>
                <w:szCs w:val="20"/>
              </w:rPr>
            </w:pPr>
            <w:r>
              <w:rPr>
                <w:rFonts w:ascii="Times New Roman Regular" w:hAnsi="Times New Roman Regular" w:cs="Times New Roman Regular"/>
                <w:b w:val="0"/>
                <w:bCs w:val="0"/>
                <w:sz w:val="20"/>
                <w:szCs w:val="20"/>
              </w:rPr>
              <w:t>医疗急救采取措施现场处理后，首先把受伤人员送离比赛场地。</w:t>
            </w:r>
          </w:p>
          <w:p w14:paraId="3BC17F42">
            <w:pPr>
              <w:numPr>
                <w:ilvl w:val="0"/>
                <w:numId w:val="2"/>
              </w:numPr>
              <w:spacing w:before="0" w:line="240" w:lineRule="auto"/>
              <w:jc w:val="both"/>
              <w:rPr>
                <w:rFonts w:ascii="Times New Roman Regular" w:hAnsi="Times New Roman Regular" w:cs="Times New Roman Regular"/>
                <w:b w:val="0"/>
                <w:bCs w:val="0"/>
                <w:sz w:val="20"/>
                <w:szCs w:val="20"/>
              </w:rPr>
            </w:pPr>
            <w:r>
              <w:rPr>
                <w:rFonts w:ascii="Times New Roman Regular" w:hAnsi="Times New Roman Regular" w:cs="Times New Roman Regular"/>
                <w:b w:val="0"/>
                <w:bCs w:val="0"/>
                <w:sz w:val="20"/>
                <w:szCs w:val="20"/>
              </w:rPr>
              <w:t>医疗急救点和医务室现场处理后，决定是否送往定点医院。</w:t>
            </w:r>
          </w:p>
        </w:tc>
        <w:tc>
          <w:tcPr>
            <w:tcW w:w="1345" w:type="dxa"/>
            <w:vAlign w:val="center"/>
          </w:tcPr>
          <w:p w14:paraId="657F359D">
            <w:pPr>
              <w:spacing w:line="300" w:lineRule="auto"/>
              <w:ind w:right="125" w:rightChars="39"/>
              <w:rPr>
                <w:rFonts w:ascii="Times New Roman Regular" w:hAnsi="Times New Roman Regular" w:cs="Times New Roman Regular"/>
                <w:b w:val="0"/>
                <w:bCs w:val="0"/>
                <w:sz w:val="20"/>
                <w:szCs w:val="20"/>
              </w:rPr>
            </w:pPr>
            <w:r>
              <w:rPr>
                <w:rFonts w:ascii="Times New Roman Regular" w:hAnsi="Times New Roman Regular" w:cs="Times New Roman Regular"/>
                <w:b w:val="0"/>
                <w:bCs w:val="0"/>
                <w:sz w:val="20"/>
                <w:szCs w:val="20"/>
              </w:rPr>
              <w:t>医疗</w:t>
            </w:r>
          </w:p>
        </w:tc>
        <w:tc>
          <w:tcPr>
            <w:tcW w:w="1355" w:type="dxa"/>
            <w:vAlign w:val="center"/>
          </w:tcPr>
          <w:p w14:paraId="18311FCB">
            <w:pPr>
              <w:spacing w:line="300" w:lineRule="auto"/>
              <w:ind w:right="269" w:rightChars="84"/>
              <w:rPr>
                <w:rFonts w:ascii="Times New Roman Regular" w:hAnsi="Times New Roman Regular" w:cs="Times New Roman Regular"/>
                <w:b w:val="0"/>
                <w:bCs w:val="0"/>
                <w:sz w:val="20"/>
                <w:szCs w:val="20"/>
              </w:rPr>
            </w:pPr>
            <w:r>
              <w:rPr>
                <w:rFonts w:ascii="Times New Roman Regular" w:hAnsi="Times New Roman Regular" w:cs="Times New Roman Regular"/>
                <w:b w:val="0"/>
                <w:bCs w:val="0"/>
                <w:sz w:val="20"/>
                <w:szCs w:val="20"/>
              </w:rPr>
              <w:t>交通</w:t>
            </w:r>
          </w:p>
          <w:p w14:paraId="149E47EA">
            <w:pPr>
              <w:spacing w:line="300" w:lineRule="auto"/>
              <w:ind w:right="269" w:rightChars="84"/>
              <w:rPr>
                <w:rFonts w:ascii="Times New Roman Regular" w:hAnsi="Times New Roman Regular" w:cs="Times New Roman Regular"/>
                <w:b w:val="0"/>
                <w:bCs w:val="0"/>
                <w:sz w:val="20"/>
                <w:szCs w:val="20"/>
              </w:rPr>
            </w:pPr>
            <w:r>
              <w:rPr>
                <w:rFonts w:ascii="Times New Roman Regular" w:hAnsi="Times New Roman Regular" w:cs="Times New Roman Regular"/>
                <w:b w:val="0"/>
                <w:bCs w:val="0"/>
                <w:sz w:val="20"/>
                <w:szCs w:val="20"/>
              </w:rPr>
              <w:t>定点医院</w:t>
            </w:r>
          </w:p>
        </w:tc>
        <w:tc>
          <w:tcPr>
            <w:tcW w:w="1260" w:type="dxa"/>
            <w:vAlign w:val="center"/>
          </w:tcPr>
          <w:p w14:paraId="7D85F71B">
            <w:pPr>
              <w:spacing w:line="300" w:lineRule="auto"/>
              <w:ind w:right="141" w:rightChars="44"/>
              <w:rPr>
                <w:rFonts w:ascii="Times New Roman Regular" w:hAnsi="Times New Roman Regular" w:cs="Times New Roman Regular"/>
                <w:b w:val="0"/>
                <w:bCs w:val="0"/>
                <w:sz w:val="20"/>
                <w:szCs w:val="20"/>
              </w:rPr>
            </w:pPr>
            <w:r>
              <w:rPr>
                <w:rFonts w:ascii="Times New Roman Regular" w:hAnsi="Times New Roman Regular" w:cs="Times New Roman Regular"/>
                <w:b w:val="0"/>
                <w:bCs w:val="0"/>
                <w:sz w:val="20"/>
                <w:szCs w:val="20"/>
              </w:rPr>
              <w:t>轮式担架</w:t>
            </w:r>
          </w:p>
          <w:p w14:paraId="7E21FA5D">
            <w:pPr>
              <w:spacing w:line="300" w:lineRule="auto"/>
              <w:ind w:right="141" w:rightChars="44"/>
              <w:rPr>
                <w:rFonts w:ascii="Times New Roman Regular" w:hAnsi="Times New Roman Regular" w:cs="Times New Roman Regular"/>
                <w:b w:val="0"/>
                <w:bCs w:val="0"/>
                <w:sz w:val="20"/>
                <w:szCs w:val="20"/>
              </w:rPr>
            </w:pPr>
            <w:r>
              <w:rPr>
                <w:rFonts w:ascii="Times New Roman Regular" w:hAnsi="Times New Roman Regular" w:cs="Times New Roman Regular"/>
                <w:b w:val="0"/>
                <w:bCs w:val="0"/>
                <w:sz w:val="20"/>
                <w:szCs w:val="20"/>
              </w:rPr>
              <w:t>救护车</w:t>
            </w:r>
          </w:p>
        </w:tc>
      </w:tr>
      <w:tr w14:paraId="7C6DB068">
        <w:tblPrEx>
          <w:tblBorders>
            <w:top w:val="double" w:color="000000" w:sz="6" w:space="0"/>
            <w:left w:val="double" w:color="000000" w:sz="6" w:space="0"/>
            <w:bottom w:val="double" w:color="000000" w:sz="6" w:space="0"/>
            <w:right w:val="double" w:color="000000" w:sz="6" w:space="0"/>
            <w:insideH w:val="double" w:color="000000" w:sz="6" w:space="0"/>
            <w:insideV w:val="single" w:color="000000" w:sz="6" w:space="0"/>
          </w:tblBorders>
          <w:tblCellMar>
            <w:top w:w="0" w:type="dxa"/>
            <w:left w:w="108" w:type="dxa"/>
            <w:bottom w:w="0" w:type="dxa"/>
            <w:right w:w="108" w:type="dxa"/>
          </w:tblCellMar>
        </w:tblPrEx>
        <w:trPr>
          <w:trHeight w:val="772" w:hRule="atLeast"/>
          <w:jc w:val="center"/>
        </w:trPr>
        <w:tc>
          <w:tcPr>
            <w:tcW w:w="1188" w:type="dxa"/>
            <w:vMerge w:val="continue"/>
            <w:vAlign w:val="center"/>
          </w:tcPr>
          <w:p w14:paraId="6A53FE03">
            <w:pPr>
              <w:rPr>
                <w:rFonts w:ascii="Times New Roman Regular" w:hAnsi="Times New Roman Regular" w:cs="Times New Roman Regular"/>
                <w:b w:val="0"/>
                <w:bCs w:val="0"/>
                <w:sz w:val="20"/>
                <w:szCs w:val="20"/>
              </w:rPr>
            </w:pPr>
          </w:p>
        </w:tc>
        <w:tc>
          <w:tcPr>
            <w:tcW w:w="3960" w:type="dxa"/>
            <w:vAlign w:val="center"/>
          </w:tcPr>
          <w:p w14:paraId="4DE6D28F">
            <w:pPr>
              <w:spacing w:before="0" w:line="240" w:lineRule="auto"/>
              <w:jc w:val="both"/>
              <w:rPr>
                <w:rFonts w:ascii="Times New Roman Regular" w:hAnsi="Times New Roman Regular" w:cs="Times New Roman Regular"/>
                <w:b w:val="0"/>
                <w:bCs w:val="0"/>
                <w:sz w:val="20"/>
                <w:szCs w:val="20"/>
              </w:rPr>
            </w:pPr>
            <w:r>
              <w:rPr>
                <w:rFonts w:ascii="Times New Roman Regular" w:hAnsi="Times New Roman Regular" w:cs="Times New Roman Regular"/>
                <w:b w:val="0"/>
                <w:bCs w:val="0"/>
                <w:sz w:val="20"/>
                <w:szCs w:val="20"/>
              </w:rPr>
              <w:t>4、如无大碍，需送回驻地，由赛区竞赛负责人通知交通处和接待处</w:t>
            </w:r>
          </w:p>
        </w:tc>
        <w:tc>
          <w:tcPr>
            <w:tcW w:w="1345" w:type="dxa"/>
            <w:vAlign w:val="center"/>
          </w:tcPr>
          <w:p w14:paraId="480C7BD0">
            <w:pPr>
              <w:spacing w:line="300" w:lineRule="auto"/>
              <w:ind w:right="125" w:rightChars="39"/>
              <w:rPr>
                <w:rFonts w:ascii="Times New Roman Regular" w:hAnsi="Times New Roman Regular" w:cs="Times New Roman Regular"/>
                <w:b w:val="0"/>
                <w:bCs w:val="0"/>
                <w:sz w:val="20"/>
                <w:szCs w:val="20"/>
              </w:rPr>
            </w:pPr>
            <w:r>
              <w:rPr>
                <w:rFonts w:ascii="Times New Roman Regular" w:hAnsi="Times New Roman Regular" w:cs="Times New Roman Regular"/>
                <w:b w:val="0"/>
                <w:bCs w:val="0"/>
                <w:sz w:val="20"/>
                <w:szCs w:val="20"/>
              </w:rPr>
              <w:t>竞赛</w:t>
            </w:r>
          </w:p>
        </w:tc>
        <w:tc>
          <w:tcPr>
            <w:tcW w:w="1355" w:type="dxa"/>
            <w:vAlign w:val="center"/>
          </w:tcPr>
          <w:p w14:paraId="326E224B">
            <w:pPr>
              <w:spacing w:line="300" w:lineRule="auto"/>
              <w:ind w:right="269" w:rightChars="84"/>
              <w:rPr>
                <w:rFonts w:ascii="Times New Roman Regular" w:hAnsi="Times New Roman Regular" w:cs="Times New Roman Regular"/>
                <w:b w:val="0"/>
                <w:bCs w:val="0"/>
                <w:sz w:val="20"/>
                <w:szCs w:val="20"/>
              </w:rPr>
            </w:pPr>
            <w:r>
              <w:rPr>
                <w:rFonts w:ascii="Times New Roman Regular" w:hAnsi="Times New Roman Regular" w:cs="Times New Roman Regular"/>
                <w:b w:val="0"/>
                <w:bCs w:val="0"/>
                <w:sz w:val="20"/>
                <w:szCs w:val="20"/>
              </w:rPr>
              <w:t>交通</w:t>
            </w:r>
          </w:p>
          <w:p w14:paraId="014726DE">
            <w:pPr>
              <w:spacing w:line="300" w:lineRule="auto"/>
              <w:ind w:right="269" w:rightChars="84"/>
              <w:rPr>
                <w:rFonts w:ascii="Times New Roman Regular" w:hAnsi="Times New Roman Regular" w:cs="Times New Roman Regular"/>
                <w:b w:val="0"/>
                <w:bCs w:val="0"/>
                <w:sz w:val="20"/>
                <w:szCs w:val="20"/>
              </w:rPr>
            </w:pPr>
            <w:r>
              <w:rPr>
                <w:rFonts w:ascii="Times New Roman Regular" w:hAnsi="Times New Roman Regular" w:cs="Times New Roman Regular"/>
                <w:b w:val="0"/>
                <w:bCs w:val="0"/>
                <w:sz w:val="20"/>
                <w:szCs w:val="20"/>
              </w:rPr>
              <w:t>所在球队</w:t>
            </w:r>
          </w:p>
        </w:tc>
        <w:tc>
          <w:tcPr>
            <w:tcW w:w="1260" w:type="dxa"/>
            <w:vAlign w:val="center"/>
          </w:tcPr>
          <w:p w14:paraId="42A171F2">
            <w:pPr>
              <w:spacing w:line="300" w:lineRule="auto"/>
              <w:ind w:right="141" w:rightChars="44"/>
              <w:rPr>
                <w:rFonts w:ascii="Times New Roman Regular" w:hAnsi="Times New Roman Regular" w:cs="Times New Roman Regular"/>
                <w:b w:val="0"/>
                <w:bCs w:val="0"/>
                <w:sz w:val="20"/>
                <w:szCs w:val="20"/>
              </w:rPr>
            </w:pPr>
            <w:r>
              <w:rPr>
                <w:rFonts w:ascii="Times New Roman Regular" w:hAnsi="Times New Roman Regular" w:cs="Times New Roman Regular"/>
                <w:b w:val="0"/>
                <w:bCs w:val="0"/>
                <w:sz w:val="20"/>
                <w:szCs w:val="20"/>
              </w:rPr>
              <w:t>车辆</w:t>
            </w:r>
          </w:p>
        </w:tc>
      </w:tr>
      <w:tr w14:paraId="1F6C197F">
        <w:tblPrEx>
          <w:tblBorders>
            <w:top w:val="double" w:color="000000" w:sz="6" w:space="0"/>
            <w:left w:val="double" w:color="000000" w:sz="6" w:space="0"/>
            <w:bottom w:val="double" w:color="000000" w:sz="6" w:space="0"/>
            <w:right w:val="double" w:color="000000" w:sz="6" w:space="0"/>
            <w:insideH w:val="double" w:color="000000" w:sz="6" w:space="0"/>
            <w:insideV w:val="single" w:color="000000" w:sz="6" w:space="0"/>
          </w:tblBorders>
          <w:tblCellMar>
            <w:top w:w="0" w:type="dxa"/>
            <w:left w:w="108" w:type="dxa"/>
            <w:bottom w:w="0" w:type="dxa"/>
            <w:right w:w="108" w:type="dxa"/>
          </w:tblCellMar>
        </w:tblPrEx>
        <w:trPr>
          <w:trHeight w:val="858" w:hRule="atLeast"/>
          <w:jc w:val="center"/>
        </w:trPr>
        <w:tc>
          <w:tcPr>
            <w:tcW w:w="1188" w:type="dxa"/>
            <w:vMerge w:val="continue"/>
            <w:vAlign w:val="center"/>
          </w:tcPr>
          <w:p w14:paraId="5E86F4B5">
            <w:pPr>
              <w:rPr>
                <w:rFonts w:ascii="Times New Roman Regular" w:hAnsi="Times New Roman Regular" w:cs="Times New Roman Regular"/>
                <w:b w:val="0"/>
                <w:bCs w:val="0"/>
                <w:sz w:val="20"/>
                <w:szCs w:val="20"/>
              </w:rPr>
            </w:pPr>
          </w:p>
        </w:tc>
        <w:tc>
          <w:tcPr>
            <w:tcW w:w="3960" w:type="dxa"/>
            <w:vAlign w:val="center"/>
          </w:tcPr>
          <w:p w14:paraId="7F785DA8">
            <w:pPr>
              <w:spacing w:before="0" w:line="240" w:lineRule="auto"/>
              <w:jc w:val="both"/>
              <w:rPr>
                <w:rFonts w:ascii="Times New Roman Regular" w:hAnsi="Times New Roman Regular" w:cs="Times New Roman Regular"/>
                <w:b w:val="0"/>
                <w:bCs w:val="0"/>
                <w:sz w:val="20"/>
                <w:szCs w:val="20"/>
              </w:rPr>
            </w:pPr>
            <w:r>
              <w:rPr>
                <w:rFonts w:ascii="Times New Roman Regular" w:hAnsi="Times New Roman Regular" w:cs="Times New Roman Regular"/>
                <w:b w:val="0"/>
                <w:bCs w:val="0"/>
                <w:sz w:val="20"/>
                <w:szCs w:val="20"/>
              </w:rPr>
              <w:t>5、竞赛负责人将有关情况报告组委会领导，视情处理后续工作</w:t>
            </w:r>
          </w:p>
        </w:tc>
        <w:tc>
          <w:tcPr>
            <w:tcW w:w="1345" w:type="dxa"/>
            <w:vAlign w:val="center"/>
          </w:tcPr>
          <w:p w14:paraId="71B29C11">
            <w:pPr>
              <w:ind w:right="125" w:rightChars="39"/>
              <w:rPr>
                <w:rFonts w:ascii="Times New Roman Regular" w:hAnsi="Times New Roman Regular" w:cs="Times New Roman Regular"/>
                <w:b w:val="0"/>
                <w:bCs w:val="0"/>
                <w:sz w:val="20"/>
                <w:szCs w:val="20"/>
              </w:rPr>
            </w:pPr>
            <w:r>
              <w:rPr>
                <w:rFonts w:ascii="Times New Roman Regular" w:hAnsi="Times New Roman Regular" w:cs="Times New Roman Regular"/>
                <w:b w:val="0"/>
                <w:bCs w:val="0"/>
                <w:sz w:val="20"/>
                <w:szCs w:val="20"/>
              </w:rPr>
              <w:t>竞赛</w:t>
            </w:r>
          </w:p>
        </w:tc>
        <w:tc>
          <w:tcPr>
            <w:tcW w:w="1355" w:type="dxa"/>
            <w:vAlign w:val="center"/>
          </w:tcPr>
          <w:p w14:paraId="735BA6FC">
            <w:pPr>
              <w:spacing w:line="300" w:lineRule="auto"/>
              <w:ind w:right="269" w:rightChars="84"/>
              <w:rPr>
                <w:rFonts w:ascii="Times New Roman Regular" w:hAnsi="Times New Roman Regular" w:cs="Times New Roman Regular"/>
                <w:b w:val="0"/>
                <w:bCs w:val="0"/>
                <w:sz w:val="20"/>
                <w:szCs w:val="20"/>
              </w:rPr>
            </w:pPr>
            <w:r>
              <w:rPr>
                <w:rFonts w:ascii="Times New Roman Regular" w:hAnsi="Times New Roman Regular" w:cs="Times New Roman Regular"/>
                <w:b w:val="0"/>
                <w:bCs w:val="0"/>
                <w:sz w:val="20"/>
                <w:szCs w:val="20"/>
              </w:rPr>
              <w:t>所在球队</w:t>
            </w:r>
          </w:p>
        </w:tc>
        <w:tc>
          <w:tcPr>
            <w:tcW w:w="1260" w:type="dxa"/>
            <w:vAlign w:val="center"/>
          </w:tcPr>
          <w:p w14:paraId="38BBEFAE">
            <w:pPr>
              <w:spacing w:line="300" w:lineRule="auto"/>
              <w:ind w:right="141" w:rightChars="44"/>
              <w:rPr>
                <w:rFonts w:ascii="Times New Roman Regular" w:hAnsi="Times New Roman Regular" w:cs="Times New Roman Regular"/>
                <w:b w:val="0"/>
                <w:bCs w:val="0"/>
                <w:sz w:val="20"/>
                <w:szCs w:val="20"/>
              </w:rPr>
            </w:pPr>
            <w:r>
              <w:rPr>
                <w:rFonts w:ascii="Times New Roman Regular" w:hAnsi="Times New Roman Regular" w:cs="Times New Roman Regular"/>
                <w:b w:val="0"/>
                <w:bCs w:val="0"/>
                <w:sz w:val="20"/>
                <w:szCs w:val="20"/>
              </w:rPr>
              <w:t>保险等</w:t>
            </w:r>
          </w:p>
        </w:tc>
      </w:tr>
    </w:tbl>
    <w:p w14:paraId="07CD0425">
      <w:pPr>
        <w:ind w:firstLine="630" w:firstLineChars="196"/>
        <w:rPr>
          <w:rFonts w:ascii="宋体" w:hAnsi="宋体"/>
        </w:rPr>
      </w:pPr>
    </w:p>
    <w:p w14:paraId="4E18F523"/>
    <w:p w14:paraId="0EB18EA1">
      <w:pPr>
        <w:rPr>
          <w:rFonts w:ascii="黑体" w:hAnsi="黑体" w:eastAsia="黑体"/>
          <w:sz w:val="30"/>
          <w:szCs w:val="30"/>
        </w:rPr>
      </w:pPr>
    </w:p>
    <w:p w14:paraId="4E0334DC">
      <w:pPr>
        <w:pStyle w:val="3"/>
        <w:spacing w:before="0" w:line="520" w:lineRule="exact"/>
        <w:ind w:firstLine="640" w:firstLineChars="200"/>
        <w:jc w:val="both"/>
        <w:rPr>
          <w:b w:val="0"/>
          <w:sz w:val="32"/>
          <w:szCs w:val="32"/>
          <w:lang w:eastAsia="zh-CN"/>
        </w:rPr>
        <w:sectPr>
          <w:pgSz w:w="11900" w:h="16840"/>
          <w:pgMar w:top="1431" w:right="1235" w:bottom="1224" w:left="1700" w:header="0" w:footer="935" w:gutter="0"/>
          <w:cols w:space="720" w:num="1"/>
        </w:sectPr>
      </w:pPr>
    </w:p>
    <w:p w14:paraId="77106F97">
      <w:pPr>
        <w:pStyle w:val="3"/>
        <w:spacing w:before="0" w:line="520" w:lineRule="exact"/>
        <w:jc w:val="both"/>
        <w:rPr>
          <w:b w:val="0"/>
          <w:sz w:val="32"/>
          <w:szCs w:val="32"/>
          <w:lang w:eastAsia="zh-CN"/>
        </w:rPr>
      </w:pPr>
      <w:r>
        <w:rPr>
          <w:rFonts w:hint="eastAsia" w:ascii="黑体" w:hAnsi="黑体" w:eastAsia="黑体" w:cs="黑体"/>
          <w:b w:val="0"/>
          <w:sz w:val="32"/>
          <w:szCs w:val="32"/>
          <w:lang w:eastAsia="zh-CN"/>
        </w:rPr>
        <w:t>附件6</w:t>
      </w:r>
      <w:r>
        <w:rPr>
          <w:rFonts w:hint="eastAsia"/>
          <w:b w:val="0"/>
          <w:sz w:val="32"/>
          <w:szCs w:val="32"/>
          <w:lang w:eastAsia="zh-CN"/>
        </w:rPr>
        <w:t xml:space="preserve"> </w:t>
      </w:r>
    </w:p>
    <w:p w14:paraId="4EBD9D53">
      <w:pPr>
        <w:rPr>
          <w:rFonts w:ascii="华文中宋" w:hAnsi="华文中宋" w:eastAsia="华文中宋" w:cs="华文中宋"/>
          <w:b w:val="0"/>
          <w:bCs w:val="0"/>
          <w:sz w:val="36"/>
          <w:szCs w:val="36"/>
        </w:rPr>
      </w:pPr>
      <w:r>
        <w:rPr>
          <w:rFonts w:hint="eastAsia" w:ascii="华文中宋" w:hAnsi="华文中宋" w:eastAsia="华文中宋" w:cs="华文中宋"/>
          <w:b w:val="0"/>
          <w:bCs w:val="0"/>
          <w:sz w:val="36"/>
          <w:szCs w:val="36"/>
        </w:rPr>
        <w:t>篮球赛事活动熔断机制表</w:t>
      </w:r>
    </w:p>
    <w:p w14:paraId="3A6A7000">
      <w:pPr>
        <w:rPr>
          <w:b w:val="0"/>
          <w:bCs w:val="0"/>
        </w:rPr>
      </w:pPr>
    </w:p>
    <w:tbl>
      <w:tblPr>
        <w:tblStyle w:val="10"/>
        <w:tblW w:w="9099" w:type="dxa"/>
        <w:jc w:val="center"/>
        <w:tblBorders>
          <w:top w:val="double" w:color="000000" w:sz="6" w:space="0"/>
          <w:left w:val="double" w:color="000000" w:sz="6" w:space="0"/>
          <w:bottom w:val="double" w:color="000000" w:sz="6" w:space="0"/>
          <w:right w:val="double" w:color="000000" w:sz="6" w:space="0"/>
          <w:insideH w:val="double" w:color="000000" w:sz="6" w:space="0"/>
          <w:insideV w:val="single" w:color="000000" w:sz="6" w:space="0"/>
        </w:tblBorders>
        <w:tblLayout w:type="autofit"/>
        <w:tblCellMar>
          <w:top w:w="0" w:type="dxa"/>
          <w:left w:w="108" w:type="dxa"/>
          <w:bottom w:w="0" w:type="dxa"/>
          <w:right w:w="108" w:type="dxa"/>
        </w:tblCellMar>
      </w:tblPr>
      <w:tblGrid>
        <w:gridCol w:w="1108"/>
        <w:gridCol w:w="4220"/>
        <w:gridCol w:w="1074"/>
        <w:gridCol w:w="1535"/>
        <w:gridCol w:w="1162"/>
      </w:tblGrid>
      <w:tr w14:paraId="77ABDFCC">
        <w:tblPrEx>
          <w:tblBorders>
            <w:top w:val="double" w:color="000000" w:sz="6" w:space="0"/>
            <w:left w:val="double" w:color="000000" w:sz="6" w:space="0"/>
            <w:bottom w:val="double" w:color="000000" w:sz="6" w:space="0"/>
            <w:right w:val="double" w:color="000000" w:sz="6" w:space="0"/>
            <w:insideH w:val="double" w:color="000000" w:sz="6" w:space="0"/>
            <w:insideV w:val="single" w:color="000000" w:sz="6" w:space="0"/>
          </w:tblBorders>
          <w:tblCellMar>
            <w:top w:w="0" w:type="dxa"/>
            <w:left w:w="108" w:type="dxa"/>
            <w:bottom w:w="0" w:type="dxa"/>
            <w:right w:w="108" w:type="dxa"/>
          </w:tblCellMar>
        </w:tblPrEx>
        <w:trPr>
          <w:trHeight w:val="419" w:hRule="atLeast"/>
          <w:jc w:val="center"/>
        </w:trPr>
        <w:tc>
          <w:tcPr>
            <w:tcW w:w="1108" w:type="dxa"/>
            <w:vAlign w:val="center"/>
          </w:tcPr>
          <w:p w14:paraId="3DCA430C">
            <w:pPr>
              <w:spacing w:line="300" w:lineRule="auto"/>
              <w:rPr>
                <w:rFonts w:ascii="Times New Roman Regular" w:hAnsi="Times New Roman Regular" w:cs="Times New Roman Regular"/>
                <w:b w:val="0"/>
                <w:bCs w:val="0"/>
                <w:sz w:val="20"/>
                <w:szCs w:val="20"/>
              </w:rPr>
            </w:pPr>
            <w:r>
              <w:rPr>
                <w:rFonts w:ascii="Times New Roman Regular" w:hAnsi="Times New Roman Regular" w:cs="Times New Roman Regular"/>
                <w:b w:val="0"/>
                <w:bCs w:val="0"/>
                <w:sz w:val="20"/>
                <w:szCs w:val="20"/>
              </w:rPr>
              <w:t>事件名称</w:t>
            </w:r>
          </w:p>
        </w:tc>
        <w:tc>
          <w:tcPr>
            <w:tcW w:w="7991" w:type="dxa"/>
            <w:gridSpan w:val="4"/>
            <w:vAlign w:val="center"/>
          </w:tcPr>
          <w:p w14:paraId="5A0225D1">
            <w:pPr>
              <w:spacing w:line="300" w:lineRule="auto"/>
              <w:ind w:right="269" w:rightChars="84"/>
              <w:rPr>
                <w:rFonts w:ascii="Times New Roman Regular" w:hAnsi="Times New Roman Regular" w:cs="Times New Roman Regular"/>
                <w:b w:val="0"/>
                <w:bCs w:val="0"/>
                <w:sz w:val="20"/>
                <w:szCs w:val="20"/>
              </w:rPr>
            </w:pPr>
            <w:r>
              <w:rPr>
                <w:rFonts w:ascii="Times New Roman Regular" w:hAnsi="Times New Roman Regular" w:cs="Times New Roman Regular"/>
                <w:b w:val="0"/>
                <w:bCs w:val="0"/>
                <w:sz w:val="20"/>
                <w:szCs w:val="20"/>
              </w:rPr>
              <w:t>赛事活动因遭遇自然灾害、事故灾难、公共卫生事件、社会安全事件或其他可能导致不再具备办赛条件的情形后，被迫熔断</w:t>
            </w:r>
          </w:p>
        </w:tc>
      </w:tr>
      <w:tr w14:paraId="65469B27">
        <w:tblPrEx>
          <w:tblBorders>
            <w:top w:val="double" w:color="000000" w:sz="6" w:space="0"/>
            <w:left w:val="double" w:color="000000" w:sz="6" w:space="0"/>
            <w:bottom w:val="double" w:color="000000" w:sz="6" w:space="0"/>
            <w:right w:val="double" w:color="000000" w:sz="6" w:space="0"/>
            <w:insideH w:val="double" w:color="000000" w:sz="6" w:space="0"/>
            <w:insideV w:val="single" w:color="000000" w:sz="6" w:space="0"/>
          </w:tblBorders>
          <w:tblCellMar>
            <w:top w:w="0" w:type="dxa"/>
            <w:left w:w="108" w:type="dxa"/>
            <w:bottom w:w="0" w:type="dxa"/>
            <w:right w:w="108" w:type="dxa"/>
          </w:tblCellMar>
        </w:tblPrEx>
        <w:trPr>
          <w:trHeight w:val="920" w:hRule="atLeast"/>
          <w:jc w:val="center"/>
        </w:trPr>
        <w:tc>
          <w:tcPr>
            <w:tcW w:w="1108" w:type="dxa"/>
            <w:vAlign w:val="center"/>
          </w:tcPr>
          <w:p w14:paraId="63A7403A">
            <w:pPr>
              <w:spacing w:line="300" w:lineRule="auto"/>
              <w:rPr>
                <w:rFonts w:ascii="Times New Roman Regular" w:hAnsi="Times New Roman Regular" w:cs="Times New Roman Regular"/>
                <w:b w:val="0"/>
                <w:bCs w:val="0"/>
                <w:sz w:val="20"/>
                <w:szCs w:val="20"/>
              </w:rPr>
            </w:pPr>
            <w:r>
              <w:rPr>
                <w:rFonts w:ascii="Times New Roman Regular" w:hAnsi="Times New Roman Regular" w:cs="Times New Roman Regular"/>
                <w:b w:val="0"/>
                <w:bCs w:val="0"/>
                <w:sz w:val="20"/>
                <w:szCs w:val="20"/>
              </w:rPr>
              <w:t>上报流程</w:t>
            </w:r>
          </w:p>
        </w:tc>
        <w:tc>
          <w:tcPr>
            <w:tcW w:w="5294" w:type="dxa"/>
            <w:gridSpan w:val="2"/>
            <w:vAlign w:val="center"/>
          </w:tcPr>
          <w:p w14:paraId="65DB1968">
            <w:pPr>
              <w:spacing w:line="300" w:lineRule="auto"/>
              <w:ind w:right="125" w:rightChars="39"/>
              <w:jc w:val="both"/>
              <w:rPr>
                <w:rFonts w:ascii="Times New Roman Regular" w:hAnsi="Times New Roman Regular" w:cs="Times New Roman Regular"/>
                <w:b w:val="0"/>
                <w:bCs w:val="0"/>
                <w:sz w:val="20"/>
                <w:szCs w:val="20"/>
              </w:rPr>
            </w:pPr>
            <w:r>
              <w:rPr>
                <w:rFonts w:hint="eastAsia" w:ascii="Times New Roman Regular" w:hAnsi="Times New Roman Regular" w:cs="Times New Roman Regular"/>
                <w:b w:val="0"/>
                <w:bCs w:val="0"/>
                <w:sz w:val="20"/>
                <w:szCs w:val="20"/>
              </w:rPr>
              <w:t>1、</w:t>
            </w:r>
            <w:r>
              <w:rPr>
                <w:rFonts w:ascii="Times New Roman Regular" w:hAnsi="Times New Roman Regular" w:cs="Times New Roman Regular"/>
                <w:b w:val="0"/>
                <w:bCs w:val="0"/>
                <w:sz w:val="20"/>
                <w:szCs w:val="20"/>
              </w:rPr>
              <w:t>比赛监督（姓名、电话</w:t>
            </w:r>
            <w:r>
              <w:rPr>
                <w:rFonts w:hint="eastAsia" w:ascii="Times New Roman Regular" w:hAnsi="Times New Roman Regular" w:cs="Times New Roman Regular"/>
                <w:b w:val="0"/>
                <w:bCs w:val="0"/>
                <w:sz w:val="20"/>
                <w:szCs w:val="20"/>
              </w:rPr>
              <w:t>）</w:t>
            </w:r>
            <w:r>
              <w:rPr>
                <w:rFonts w:ascii="Times New Roman Regular" w:hAnsi="Times New Roman Regular" w:cs="Times New Roman Regular"/>
                <w:b w:val="0"/>
                <w:bCs w:val="0"/>
                <w:sz w:val="20"/>
                <w:szCs w:val="20"/>
              </w:rPr>
              <w:t>：</w:t>
            </w:r>
          </w:p>
          <w:p w14:paraId="1D6C8E23">
            <w:pPr>
              <w:spacing w:line="300" w:lineRule="auto"/>
              <w:ind w:right="125" w:rightChars="39"/>
              <w:jc w:val="both"/>
              <w:rPr>
                <w:rFonts w:ascii="Times New Roman Regular" w:hAnsi="Times New Roman Regular" w:cs="Times New Roman Regular"/>
                <w:b w:val="0"/>
                <w:bCs w:val="0"/>
                <w:sz w:val="20"/>
                <w:szCs w:val="20"/>
              </w:rPr>
            </w:pPr>
            <w:r>
              <w:rPr>
                <w:rFonts w:hint="eastAsia" w:ascii="Times New Roman Regular" w:hAnsi="Times New Roman Regular" w:cs="Times New Roman Regular"/>
                <w:b w:val="0"/>
                <w:bCs w:val="0"/>
                <w:sz w:val="20"/>
                <w:szCs w:val="20"/>
              </w:rPr>
              <w:t>2、</w:t>
            </w:r>
            <w:r>
              <w:rPr>
                <w:rFonts w:ascii="Times New Roman Regular" w:hAnsi="Times New Roman Regular" w:cs="Times New Roman Regular"/>
                <w:b w:val="0"/>
                <w:bCs w:val="0"/>
                <w:sz w:val="20"/>
                <w:szCs w:val="20"/>
              </w:rPr>
              <w:t>技术代表（姓名、电话</w:t>
            </w:r>
            <w:r>
              <w:rPr>
                <w:rFonts w:hint="eastAsia" w:ascii="Times New Roman Regular" w:hAnsi="Times New Roman Regular" w:cs="Times New Roman Regular"/>
                <w:b w:val="0"/>
                <w:bCs w:val="0"/>
                <w:sz w:val="20"/>
                <w:szCs w:val="20"/>
              </w:rPr>
              <w:t>）</w:t>
            </w:r>
            <w:r>
              <w:rPr>
                <w:rFonts w:ascii="Times New Roman Regular" w:hAnsi="Times New Roman Regular" w:cs="Times New Roman Regular"/>
                <w:b w:val="0"/>
                <w:bCs w:val="0"/>
                <w:sz w:val="20"/>
                <w:szCs w:val="20"/>
              </w:rPr>
              <w:t>：</w:t>
            </w:r>
          </w:p>
          <w:p w14:paraId="3976450F">
            <w:pPr>
              <w:spacing w:line="300" w:lineRule="auto"/>
              <w:ind w:right="125" w:rightChars="39"/>
              <w:jc w:val="both"/>
              <w:rPr>
                <w:rFonts w:ascii="Times New Roman Regular" w:hAnsi="Times New Roman Regular" w:cs="Times New Roman Regular"/>
                <w:b w:val="0"/>
                <w:bCs w:val="0"/>
                <w:sz w:val="20"/>
                <w:szCs w:val="20"/>
              </w:rPr>
            </w:pPr>
            <w:r>
              <w:rPr>
                <w:rFonts w:hint="eastAsia" w:ascii="Times New Roman Regular" w:hAnsi="Times New Roman Regular" w:cs="Times New Roman Regular"/>
                <w:b w:val="0"/>
                <w:bCs w:val="0"/>
                <w:sz w:val="20"/>
                <w:szCs w:val="20"/>
              </w:rPr>
              <w:t>3、</w:t>
            </w:r>
            <w:r>
              <w:rPr>
                <w:rFonts w:ascii="Times New Roman Regular" w:hAnsi="Times New Roman Regular" w:cs="Times New Roman Regular"/>
                <w:b w:val="0"/>
                <w:bCs w:val="0"/>
                <w:sz w:val="20"/>
                <w:szCs w:val="20"/>
              </w:rPr>
              <w:t>竞赛负责人（姓名、电话</w:t>
            </w:r>
            <w:r>
              <w:rPr>
                <w:rFonts w:hint="eastAsia" w:ascii="Times New Roman Regular" w:hAnsi="Times New Roman Regular" w:cs="Times New Roman Regular"/>
                <w:b w:val="0"/>
                <w:bCs w:val="0"/>
                <w:sz w:val="20"/>
                <w:szCs w:val="20"/>
              </w:rPr>
              <w:t>）</w:t>
            </w:r>
            <w:r>
              <w:rPr>
                <w:rFonts w:ascii="Times New Roman Regular" w:hAnsi="Times New Roman Regular" w:cs="Times New Roman Regular"/>
                <w:b w:val="0"/>
                <w:bCs w:val="0"/>
                <w:sz w:val="20"/>
                <w:szCs w:val="20"/>
              </w:rPr>
              <w:t>：</w:t>
            </w:r>
          </w:p>
          <w:p w14:paraId="4D75432E">
            <w:pPr>
              <w:spacing w:line="300" w:lineRule="auto"/>
              <w:ind w:right="125" w:rightChars="39"/>
              <w:jc w:val="both"/>
              <w:rPr>
                <w:rFonts w:ascii="Times New Roman Regular" w:hAnsi="Times New Roman Regular" w:cs="Times New Roman Regular"/>
                <w:b w:val="0"/>
                <w:bCs w:val="0"/>
                <w:sz w:val="20"/>
                <w:szCs w:val="20"/>
              </w:rPr>
            </w:pPr>
            <w:r>
              <w:rPr>
                <w:rFonts w:hint="eastAsia" w:ascii="Times New Roman Regular" w:hAnsi="Times New Roman Regular" w:cs="Times New Roman Regular"/>
                <w:b w:val="0"/>
                <w:bCs w:val="0"/>
                <w:sz w:val="20"/>
                <w:szCs w:val="20"/>
              </w:rPr>
              <w:t>4、</w:t>
            </w:r>
            <w:r>
              <w:rPr>
                <w:rFonts w:ascii="Times New Roman Regular" w:hAnsi="Times New Roman Regular" w:cs="Times New Roman Regular"/>
                <w:b w:val="0"/>
                <w:bCs w:val="0"/>
                <w:sz w:val="20"/>
                <w:szCs w:val="20"/>
              </w:rPr>
              <w:t>组委会主任（姓名、电话</w:t>
            </w:r>
            <w:r>
              <w:rPr>
                <w:rFonts w:hint="eastAsia" w:ascii="Times New Roman Regular" w:hAnsi="Times New Roman Regular" w:cs="Times New Roman Regular"/>
                <w:b w:val="0"/>
                <w:bCs w:val="0"/>
                <w:sz w:val="20"/>
                <w:szCs w:val="20"/>
              </w:rPr>
              <w:t>）</w:t>
            </w:r>
            <w:r>
              <w:rPr>
                <w:rFonts w:ascii="Times New Roman Regular" w:hAnsi="Times New Roman Regular" w:cs="Times New Roman Regular"/>
                <w:b w:val="0"/>
                <w:bCs w:val="0"/>
                <w:sz w:val="20"/>
                <w:szCs w:val="20"/>
              </w:rPr>
              <w:t>：</w:t>
            </w:r>
          </w:p>
          <w:p w14:paraId="32FD653D">
            <w:pPr>
              <w:spacing w:line="300" w:lineRule="auto"/>
              <w:ind w:right="125" w:rightChars="39"/>
              <w:jc w:val="both"/>
              <w:rPr>
                <w:rFonts w:ascii="Times New Roman Regular" w:hAnsi="Times New Roman Regular" w:cs="Times New Roman Regular"/>
                <w:b w:val="0"/>
                <w:bCs w:val="0"/>
                <w:sz w:val="20"/>
                <w:szCs w:val="20"/>
              </w:rPr>
            </w:pPr>
            <w:r>
              <w:rPr>
                <w:rFonts w:hint="eastAsia" w:ascii="Times New Roman Regular" w:hAnsi="Times New Roman Regular" w:cs="Times New Roman Regular"/>
                <w:b w:val="0"/>
                <w:bCs w:val="0"/>
                <w:sz w:val="20"/>
                <w:szCs w:val="20"/>
              </w:rPr>
              <w:t>5、属地政府相关负责人</w:t>
            </w:r>
            <w:r>
              <w:rPr>
                <w:rFonts w:ascii="Times New Roman Regular" w:hAnsi="Times New Roman Regular" w:cs="Times New Roman Regular"/>
                <w:b w:val="0"/>
                <w:bCs w:val="0"/>
                <w:sz w:val="20"/>
                <w:szCs w:val="20"/>
              </w:rPr>
              <w:t>（姓名、电话</w:t>
            </w:r>
            <w:r>
              <w:rPr>
                <w:rFonts w:hint="eastAsia" w:ascii="Times New Roman Regular" w:hAnsi="Times New Roman Regular" w:cs="Times New Roman Regular"/>
                <w:b w:val="0"/>
                <w:bCs w:val="0"/>
                <w:sz w:val="20"/>
                <w:szCs w:val="20"/>
              </w:rPr>
              <w:t>）</w:t>
            </w:r>
            <w:r>
              <w:rPr>
                <w:rFonts w:ascii="Times New Roman Regular" w:hAnsi="Times New Roman Regular" w:cs="Times New Roman Regular"/>
                <w:b w:val="0"/>
                <w:bCs w:val="0"/>
                <w:sz w:val="20"/>
                <w:szCs w:val="20"/>
              </w:rPr>
              <w:t>：</w:t>
            </w:r>
          </w:p>
        </w:tc>
        <w:tc>
          <w:tcPr>
            <w:tcW w:w="1535" w:type="dxa"/>
            <w:vAlign w:val="center"/>
          </w:tcPr>
          <w:p w14:paraId="0EA58946">
            <w:pPr>
              <w:spacing w:line="300" w:lineRule="auto"/>
              <w:ind w:right="269" w:rightChars="84"/>
              <w:rPr>
                <w:rFonts w:ascii="Times New Roman Regular" w:hAnsi="Times New Roman Regular" w:cs="Times New Roman Regular"/>
                <w:b w:val="0"/>
                <w:bCs w:val="0"/>
                <w:sz w:val="20"/>
                <w:szCs w:val="20"/>
              </w:rPr>
            </w:pPr>
            <w:r>
              <w:rPr>
                <w:rFonts w:ascii="Times New Roman Regular" w:hAnsi="Times New Roman Regular" w:cs="Times New Roman Regular"/>
                <w:b w:val="0"/>
                <w:bCs w:val="0"/>
                <w:sz w:val="20"/>
                <w:szCs w:val="20"/>
              </w:rPr>
              <w:t>事件等级</w:t>
            </w:r>
          </w:p>
        </w:tc>
        <w:tc>
          <w:tcPr>
            <w:tcW w:w="1162" w:type="dxa"/>
            <w:vAlign w:val="center"/>
          </w:tcPr>
          <w:p w14:paraId="2FA436CD">
            <w:pPr>
              <w:spacing w:line="300" w:lineRule="auto"/>
              <w:ind w:right="141" w:rightChars="44"/>
              <w:rPr>
                <w:rFonts w:ascii="Times New Roman Regular" w:hAnsi="Times New Roman Regular" w:cs="Times New Roman Regular"/>
                <w:b w:val="0"/>
                <w:bCs w:val="0"/>
                <w:sz w:val="20"/>
                <w:szCs w:val="20"/>
              </w:rPr>
            </w:pPr>
            <w:r>
              <w:rPr>
                <w:rFonts w:hint="eastAsia" w:ascii="Times New Roman Regular" w:hAnsi="Times New Roman Regular" w:cs="Times New Roman Regular"/>
                <w:b w:val="0"/>
                <w:bCs w:val="0"/>
                <w:sz w:val="20"/>
                <w:szCs w:val="20"/>
              </w:rPr>
              <w:t>特</w:t>
            </w:r>
            <w:r>
              <w:rPr>
                <w:rFonts w:ascii="Times New Roman Regular" w:hAnsi="Times New Roman Regular" w:cs="Times New Roman Regular"/>
                <w:b w:val="0"/>
                <w:bCs w:val="0"/>
                <w:sz w:val="20"/>
                <w:szCs w:val="20"/>
              </w:rPr>
              <w:t>级</w:t>
            </w:r>
          </w:p>
        </w:tc>
      </w:tr>
      <w:tr w14:paraId="6FA363A6">
        <w:tblPrEx>
          <w:tblBorders>
            <w:top w:val="double" w:color="000000" w:sz="6" w:space="0"/>
            <w:left w:val="double" w:color="000000" w:sz="6" w:space="0"/>
            <w:bottom w:val="double" w:color="000000" w:sz="6" w:space="0"/>
            <w:right w:val="double" w:color="000000" w:sz="6" w:space="0"/>
            <w:insideH w:val="double" w:color="000000" w:sz="6" w:space="0"/>
            <w:insideV w:val="single" w:color="000000" w:sz="6" w:space="0"/>
          </w:tblBorders>
          <w:tblCellMar>
            <w:top w:w="0" w:type="dxa"/>
            <w:left w:w="108" w:type="dxa"/>
            <w:bottom w:w="0" w:type="dxa"/>
            <w:right w:w="108" w:type="dxa"/>
          </w:tblCellMar>
        </w:tblPrEx>
        <w:trPr>
          <w:trHeight w:val="762" w:hRule="atLeast"/>
          <w:jc w:val="center"/>
        </w:trPr>
        <w:tc>
          <w:tcPr>
            <w:tcW w:w="1108" w:type="dxa"/>
            <w:vAlign w:val="center"/>
          </w:tcPr>
          <w:p w14:paraId="21FEE925">
            <w:pPr>
              <w:spacing w:line="300" w:lineRule="auto"/>
              <w:rPr>
                <w:rFonts w:ascii="Times New Roman Regular" w:hAnsi="Times New Roman Regular" w:cs="Times New Roman Regular"/>
                <w:b w:val="0"/>
                <w:bCs w:val="0"/>
                <w:sz w:val="20"/>
                <w:szCs w:val="20"/>
              </w:rPr>
            </w:pPr>
            <w:r>
              <w:rPr>
                <w:rFonts w:ascii="Times New Roman Regular" w:hAnsi="Times New Roman Regular" w:cs="Times New Roman Regular"/>
                <w:b w:val="0"/>
                <w:bCs w:val="0"/>
                <w:sz w:val="20"/>
                <w:szCs w:val="20"/>
              </w:rPr>
              <w:t>场景描述</w:t>
            </w:r>
          </w:p>
        </w:tc>
        <w:tc>
          <w:tcPr>
            <w:tcW w:w="7991" w:type="dxa"/>
            <w:gridSpan w:val="4"/>
            <w:vAlign w:val="center"/>
          </w:tcPr>
          <w:p w14:paraId="49E8C411">
            <w:pPr>
              <w:spacing w:line="300" w:lineRule="auto"/>
              <w:jc w:val="both"/>
              <w:rPr>
                <w:rFonts w:ascii="Times New Roman Regular" w:hAnsi="Times New Roman Regular" w:cs="Times New Roman Regular"/>
                <w:b w:val="0"/>
                <w:bCs w:val="0"/>
                <w:sz w:val="20"/>
                <w:szCs w:val="20"/>
              </w:rPr>
            </w:pPr>
            <w:r>
              <w:rPr>
                <w:rFonts w:hint="eastAsia" w:ascii="Times New Roman Regular" w:hAnsi="Times New Roman Regular" w:cs="Times New Roman Regular"/>
                <w:b w:val="0"/>
                <w:bCs w:val="0"/>
                <w:sz w:val="20"/>
                <w:szCs w:val="20"/>
              </w:rPr>
              <w:t>1、</w:t>
            </w:r>
            <w:r>
              <w:rPr>
                <w:rFonts w:ascii="Times New Roman Regular" w:hAnsi="Times New Roman Regular" w:cs="Times New Roman Regular"/>
                <w:b w:val="0"/>
                <w:bCs w:val="0"/>
                <w:sz w:val="20"/>
                <w:szCs w:val="20"/>
              </w:rPr>
              <w:t xml:space="preserve">自然灾害，包括气象灾害、地震灾害、地质灾害、生物灾害和火灾等； </w:t>
            </w:r>
          </w:p>
          <w:p w14:paraId="0CD40894">
            <w:pPr>
              <w:spacing w:line="300" w:lineRule="auto"/>
              <w:jc w:val="both"/>
              <w:rPr>
                <w:rFonts w:ascii="Times New Roman Regular" w:hAnsi="Times New Roman Regular" w:cs="Times New Roman Regular"/>
                <w:b w:val="0"/>
                <w:bCs w:val="0"/>
                <w:sz w:val="20"/>
                <w:szCs w:val="20"/>
              </w:rPr>
            </w:pPr>
            <w:r>
              <w:rPr>
                <w:rFonts w:hint="eastAsia" w:ascii="Times New Roman Regular" w:hAnsi="Times New Roman Regular" w:cs="Times New Roman Regular"/>
                <w:b w:val="0"/>
                <w:bCs w:val="0"/>
                <w:sz w:val="20"/>
                <w:szCs w:val="20"/>
              </w:rPr>
              <w:t>2、</w:t>
            </w:r>
            <w:r>
              <w:rPr>
                <w:rFonts w:ascii="Times New Roman Regular" w:hAnsi="Times New Roman Regular" w:cs="Times New Roman Regular"/>
                <w:b w:val="0"/>
                <w:bCs w:val="0"/>
                <w:sz w:val="20"/>
                <w:szCs w:val="20"/>
              </w:rPr>
              <w:t xml:space="preserve">事故灾难，包括各类安全事故、交通运输事故、公共体育设施和设备事故、环境污染和生态破坏事件等； </w:t>
            </w:r>
          </w:p>
          <w:p w14:paraId="2FF7D732">
            <w:pPr>
              <w:spacing w:line="300" w:lineRule="auto"/>
              <w:jc w:val="both"/>
              <w:rPr>
                <w:rFonts w:ascii="Times New Roman Regular" w:hAnsi="Times New Roman Regular" w:cs="Times New Roman Regular"/>
                <w:b w:val="0"/>
                <w:bCs w:val="0"/>
                <w:sz w:val="20"/>
                <w:szCs w:val="20"/>
              </w:rPr>
            </w:pPr>
            <w:r>
              <w:rPr>
                <w:rFonts w:hint="eastAsia" w:ascii="Times New Roman Regular" w:hAnsi="Times New Roman Regular" w:cs="Times New Roman Regular"/>
                <w:b w:val="0"/>
                <w:bCs w:val="0"/>
                <w:sz w:val="20"/>
                <w:szCs w:val="20"/>
              </w:rPr>
              <w:t>3、</w:t>
            </w:r>
            <w:r>
              <w:rPr>
                <w:rFonts w:ascii="Times New Roman Regular" w:hAnsi="Times New Roman Regular" w:cs="Times New Roman Regular"/>
                <w:b w:val="0"/>
                <w:bCs w:val="0"/>
                <w:sz w:val="20"/>
                <w:szCs w:val="20"/>
              </w:rPr>
              <w:t xml:space="preserve">公共卫生事件，包括传染病疫情、群体性不明原因疾病、食品安全和职业危害、动物疫情以及其他严重影响公众健康和生命安全的事件； </w:t>
            </w:r>
          </w:p>
          <w:p w14:paraId="4C2FC473">
            <w:pPr>
              <w:spacing w:line="300" w:lineRule="auto"/>
              <w:jc w:val="both"/>
              <w:rPr>
                <w:rFonts w:ascii="Times New Roman Regular" w:hAnsi="Times New Roman Regular" w:cs="Times New Roman Regular"/>
                <w:b w:val="0"/>
                <w:bCs w:val="0"/>
                <w:sz w:val="20"/>
                <w:szCs w:val="20"/>
              </w:rPr>
            </w:pPr>
            <w:r>
              <w:rPr>
                <w:rFonts w:hint="eastAsia" w:ascii="Times New Roman Regular" w:hAnsi="Times New Roman Regular" w:cs="Times New Roman Regular"/>
                <w:b w:val="0"/>
                <w:bCs w:val="0"/>
                <w:sz w:val="20"/>
                <w:szCs w:val="20"/>
              </w:rPr>
              <w:t>4、</w:t>
            </w:r>
            <w:r>
              <w:rPr>
                <w:rFonts w:ascii="Times New Roman Regular" w:hAnsi="Times New Roman Regular" w:cs="Times New Roman Regular"/>
                <w:b w:val="0"/>
                <w:bCs w:val="0"/>
                <w:sz w:val="20"/>
                <w:szCs w:val="20"/>
              </w:rPr>
              <w:t xml:space="preserve">社会安全事件，包括恐怖袭击事件、经济安全事件和涉外突发事件等； </w:t>
            </w:r>
          </w:p>
          <w:p w14:paraId="3A0A593E">
            <w:pPr>
              <w:spacing w:line="300" w:lineRule="auto"/>
              <w:jc w:val="both"/>
              <w:rPr>
                <w:rFonts w:ascii="Times New Roman Regular" w:hAnsi="Times New Roman Regular" w:cs="Times New Roman Regular"/>
                <w:b w:val="0"/>
                <w:bCs w:val="0"/>
                <w:sz w:val="20"/>
                <w:szCs w:val="20"/>
              </w:rPr>
            </w:pPr>
            <w:r>
              <w:rPr>
                <w:rFonts w:hint="eastAsia" w:ascii="Times New Roman Regular" w:hAnsi="Times New Roman Regular" w:cs="Times New Roman Regular"/>
                <w:b w:val="0"/>
                <w:bCs w:val="0"/>
                <w:sz w:val="20"/>
                <w:szCs w:val="20"/>
              </w:rPr>
              <w:t>5、</w:t>
            </w:r>
            <w:r>
              <w:rPr>
                <w:rFonts w:ascii="Times New Roman Regular" w:hAnsi="Times New Roman Regular" w:cs="Times New Roman Regular"/>
                <w:b w:val="0"/>
                <w:bCs w:val="0"/>
                <w:sz w:val="20"/>
                <w:szCs w:val="20"/>
              </w:rPr>
              <w:t>其他可能导致不再具备办赛条件的情形，如大规模群殴导致比赛中止等情况。</w:t>
            </w:r>
          </w:p>
          <w:p w14:paraId="17BAE5E2">
            <w:pPr>
              <w:spacing w:line="300" w:lineRule="auto"/>
              <w:ind w:firstLine="400" w:firstLineChars="200"/>
              <w:jc w:val="both"/>
              <w:rPr>
                <w:rFonts w:ascii="Times New Roman Regular" w:hAnsi="Times New Roman Regular" w:cs="Times New Roman Regular"/>
                <w:b w:val="0"/>
                <w:bCs w:val="0"/>
                <w:sz w:val="20"/>
                <w:szCs w:val="20"/>
              </w:rPr>
            </w:pPr>
            <w:r>
              <w:rPr>
                <w:rFonts w:hint="eastAsia" w:ascii="Times New Roman Regular" w:hAnsi="Times New Roman Regular" w:cs="Times New Roman Regular"/>
                <w:b w:val="0"/>
                <w:bCs w:val="0"/>
                <w:sz w:val="20"/>
                <w:szCs w:val="20"/>
              </w:rPr>
              <w:t>上述情况之一的，请打√。并具体描述如下：</w:t>
            </w:r>
          </w:p>
          <w:p w14:paraId="75C79530">
            <w:pPr>
              <w:pStyle w:val="3"/>
              <w:rPr>
                <w:lang w:eastAsia="zh-CN"/>
              </w:rPr>
            </w:pPr>
          </w:p>
          <w:p w14:paraId="35826244">
            <w:pPr>
              <w:pStyle w:val="3"/>
              <w:rPr>
                <w:lang w:eastAsia="zh-CN"/>
              </w:rPr>
            </w:pPr>
          </w:p>
        </w:tc>
      </w:tr>
      <w:tr w14:paraId="1789E065">
        <w:tblPrEx>
          <w:tblBorders>
            <w:top w:val="double" w:color="000000" w:sz="6" w:space="0"/>
            <w:left w:val="double" w:color="000000" w:sz="6" w:space="0"/>
            <w:bottom w:val="double" w:color="000000" w:sz="6" w:space="0"/>
            <w:right w:val="double" w:color="000000" w:sz="6" w:space="0"/>
            <w:insideH w:val="double" w:color="000000" w:sz="6" w:space="0"/>
            <w:insideV w:val="single" w:color="000000" w:sz="6" w:space="0"/>
          </w:tblBorders>
          <w:tblCellMar>
            <w:top w:w="0" w:type="dxa"/>
            <w:left w:w="108" w:type="dxa"/>
            <w:bottom w:w="0" w:type="dxa"/>
            <w:right w:w="108" w:type="dxa"/>
          </w:tblCellMar>
        </w:tblPrEx>
        <w:trPr>
          <w:trHeight w:val="786" w:hRule="atLeast"/>
          <w:jc w:val="center"/>
        </w:trPr>
        <w:tc>
          <w:tcPr>
            <w:tcW w:w="1108" w:type="dxa"/>
            <w:vAlign w:val="center"/>
          </w:tcPr>
          <w:p w14:paraId="390E3F0C">
            <w:pPr>
              <w:spacing w:line="300" w:lineRule="auto"/>
              <w:rPr>
                <w:rFonts w:ascii="Times New Roman Regular" w:hAnsi="Times New Roman Regular" w:cs="Times New Roman Regular"/>
                <w:b w:val="0"/>
                <w:bCs w:val="0"/>
                <w:sz w:val="20"/>
                <w:szCs w:val="20"/>
              </w:rPr>
            </w:pPr>
            <w:r>
              <w:rPr>
                <w:rFonts w:ascii="Times New Roman Regular" w:hAnsi="Times New Roman Regular" w:cs="Times New Roman Regular"/>
                <w:b w:val="0"/>
                <w:bCs w:val="0"/>
                <w:sz w:val="20"/>
                <w:szCs w:val="20"/>
              </w:rPr>
              <w:t>情景设计</w:t>
            </w:r>
          </w:p>
        </w:tc>
        <w:tc>
          <w:tcPr>
            <w:tcW w:w="7991" w:type="dxa"/>
            <w:gridSpan w:val="4"/>
            <w:vAlign w:val="center"/>
          </w:tcPr>
          <w:p w14:paraId="2FCDCBB1">
            <w:pPr>
              <w:spacing w:line="300" w:lineRule="auto"/>
              <w:ind w:firstLine="400" w:firstLineChars="200"/>
              <w:rPr>
                <w:rFonts w:ascii="Times New Roman Regular" w:hAnsi="Times New Roman Regular" w:cs="Times New Roman Regular"/>
                <w:b w:val="0"/>
                <w:bCs w:val="0"/>
                <w:sz w:val="20"/>
                <w:szCs w:val="20"/>
              </w:rPr>
            </w:pPr>
            <w:r>
              <w:rPr>
                <w:rFonts w:ascii="Times New Roman Regular" w:hAnsi="Times New Roman Regular" w:cs="Times New Roman Regular"/>
                <w:b w:val="0"/>
                <w:bCs w:val="0"/>
                <w:sz w:val="20"/>
                <w:szCs w:val="20"/>
              </w:rPr>
              <w:t>赛前或赛中出现疫情、恐怖袭击或自然灾害，可能推迟比赛或取消比赛。</w:t>
            </w:r>
          </w:p>
        </w:tc>
      </w:tr>
      <w:tr w14:paraId="2307F141">
        <w:tblPrEx>
          <w:tblBorders>
            <w:top w:val="double" w:color="000000" w:sz="6" w:space="0"/>
            <w:left w:val="double" w:color="000000" w:sz="6" w:space="0"/>
            <w:bottom w:val="double" w:color="000000" w:sz="6" w:space="0"/>
            <w:right w:val="double" w:color="000000" w:sz="6" w:space="0"/>
            <w:insideH w:val="double" w:color="000000" w:sz="6" w:space="0"/>
            <w:insideV w:val="single" w:color="000000" w:sz="6" w:space="0"/>
          </w:tblBorders>
          <w:tblCellMar>
            <w:top w:w="0" w:type="dxa"/>
            <w:left w:w="108" w:type="dxa"/>
            <w:bottom w:w="0" w:type="dxa"/>
            <w:right w:w="108" w:type="dxa"/>
          </w:tblCellMar>
        </w:tblPrEx>
        <w:trPr>
          <w:trHeight w:val="457" w:hRule="atLeast"/>
          <w:jc w:val="center"/>
        </w:trPr>
        <w:tc>
          <w:tcPr>
            <w:tcW w:w="1108" w:type="dxa"/>
            <w:vAlign w:val="center"/>
          </w:tcPr>
          <w:p w14:paraId="01C7748D">
            <w:pPr>
              <w:spacing w:line="300" w:lineRule="auto"/>
              <w:rPr>
                <w:rFonts w:ascii="Times New Roman Regular" w:hAnsi="Times New Roman Regular" w:cs="Times New Roman Regular"/>
                <w:b w:val="0"/>
                <w:bCs w:val="0"/>
                <w:sz w:val="20"/>
                <w:szCs w:val="20"/>
              </w:rPr>
            </w:pPr>
            <w:r>
              <w:rPr>
                <w:rFonts w:ascii="Times New Roman Regular" w:hAnsi="Times New Roman Regular" w:cs="Times New Roman Regular"/>
                <w:b w:val="0"/>
                <w:bCs w:val="0"/>
                <w:sz w:val="20"/>
                <w:szCs w:val="20"/>
              </w:rPr>
              <w:t>预案依据</w:t>
            </w:r>
          </w:p>
        </w:tc>
        <w:tc>
          <w:tcPr>
            <w:tcW w:w="7991" w:type="dxa"/>
            <w:gridSpan w:val="4"/>
            <w:vAlign w:val="center"/>
          </w:tcPr>
          <w:p w14:paraId="2F588829">
            <w:pPr>
              <w:spacing w:line="300" w:lineRule="auto"/>
              <w:ind w:right="141" w:rightChars="44"/>
              <w:rPr>
                <w:rFonts w:ascii="Times New Roman Regular" w:hAnsi="Times New Roman Regular" w:cs="Times New Roman Regular"/>
                <w:b w:val="0"/>
                <w:bCs w:val="0"/>
                <w:sz w:val="20"/>
                <w:szCs w:val="20"/>
              </w:rPr>
            </w:pPr>
            <w:r>
              <w:rPr>
                <w:rFonts w:ascii="Times New Roman Regular" w:hAnsi="Times New Roman Regular" w:cs="Times New Roman Regular"/>
                <w:b w:val="0"/>
                <w:bCs w:val="0"/>
                <w:sz w:val="20"/>
                <w:szCs w:val="20"/>
              </w:rPr>
              <w:t>依据地方政府通知、体育总局相关规定</w:t>
            </w:r>
          </w:p>
          <w:p w14:paraId="47DB10F7">
            <w:pPr>
              <w:spacing w:line="300" w:lineRule="auto"/>
              <w:ind w:right="141" w:rightChars="44"/>
              <w:rPr>
                <w:rFonts w:ascii="Times New Roman Regular" w:hAnsi="Times New Roman Regular" w:cs="Times New Roman Regular"/>
                <w:b w:val="0"/>
                <w:bCs w:val="0"/>
                <w:sz w:val="20"/>
                <w:szCs w:val="20"/>
              </w:rPr>
            </w:pPr>
            <w:r>
              <w:rPr>
                <w:rFonts w:ascii="Times New Roman Regular" w:hAnsi="Times New Roman Regular" w:cs="Times New Roman Regular"/>
                <w:b w:val="0"/>
                <w:bCs w:val="0"/>
                <w:sz w:val="20"/>
                <w:szCs w:val="20"/>
              </w:rPr>
              <w:t>赛区组委会和</w:t>
            </w:r>
            <w:r>
              <w:rPr>
                <w:rFonts w:hint="eastAsia" w:ascii="Times New Roman Regular" w:hAnsi="Times New Roman Regular" w:cs="Times New Roman Regular"/>
                <w:b w:val="0"/>
                <w:bCs w:val="0"/>
                <w:sz w:val="20"/>
                <w:szCs w:val="20"/>
              </w:rPr>
              <w:t>中国篮协协会</w:t>
            </w:r>
            <w:r>
              <w:rPr>
                <w:rFonts w:ascii="Times New Roman Regular" w:hAnsi="Times New Roman Regular" w:cs="Times New Roman Regular"/>
                <w:b w:val="0"/>
                <w:bCs w:val="0"/>
                <w:sz w:val="20"/>
                <w:szCs w:val="20"/>
              </w:rPr>
              <w:t>有关规定及工作程序</w:t>
            </w:r>
          </w:p>
        </w:tc>
      </w:tr>
      <w:tr w14:paraId="1AD595FE">
        <w:tblPrEx>
          <w:tblBorders>
            <w:top w:val="double" w:color="000000" w:sz="6" w:space="0"/>
            <w:left w:val="double" w:color="000000" w:sz="6" w:space="0"/>
            <w:bottom w:val="double" w:color="000000" w:sz="6" w:space="0"/>
            <w:right w:val="double" w:color="000000" w:sz="6" w:space="0"/>
            <w:insideH w:val="double" w:color="000000" w:sz="6" w:space="0"/>
            <w:insideV w:val="single" w:color="000000" w:sz="6" w:space="0"/>
          </w:tblBorders>
          <w:tblCellMar>
            <w:top w:w="0" w:type="dxa"/>
            <w:left w:w="108" w:type="dxa"/>
            <w:bottom w:w="0" w:type="dxa"/>
            <w:right w:w="108" w:type="dxa"/>
          </w:tblCellMar>
        </w:tblPrEx>
        <w:trPr>
          <w:trHeight w:val="591" w:hRule="atLeast"/>
          <w:jc w:val="center"/>
        </w:trPr>
        <w:tc>
          <w:tcPr>
            <w:tcW w:w="1108" w:type="dxa"/>
            <w:vMerge w:val="restart"/>
            <w:vAlign w:val="center"/>
          </w:tcPr>
          <w:p w14:paraId="6FBF980D">
            <w:pPr>
              <w:spacing w:line="300" w:lineRule="auto"/>
              <w:rPr>
                <w:rFonts w:ascii="Times New Roman Regular" w:hAnsi="Times New Roman Regular" w:cs="Times New Roman Regular"/>
                <w:b w:val="0"/>
                <w:bCs w:val="0"/>
                <w:sz w:val="20"/>
                <w:szCs w:val="20"/>
              </w:rPr>
            </w:pPr>
            <w:r>
              <w:rPr>
                <w:rFonts w:ascii="Times New Roman Regular" w:hAnsi="Times New Roman Regular" w:cs="Times New Roman Regular"/>
                <w:b w:val="0"/>
                <w:bCs w:val="0"/>
                <w:sz w:val="20"/>
                <w:szCs w:val="20"/>
              </w:rPr>
              <w:t>应</w:t>
            </w:r>
          </w:p>
          <w:p w14:paraId="45B13564">
            <w:pPr>
              <w:spacing w:line="300" w:lineRule="auto"/>
              <w:rPr>
                <w:rFonts w:ascii="Times New Roman Regular" w:hAnsi="Times New Roman Regular" w:cs="Times New Roman Regular"/>
                <w:b w:val="0"/>
                <w:bCs w:val="0"/>
                <w:sz w:val="20"/>
                <w:szCs w:val="20"/>
              </w:rPr>
            </w:pPr>
            <w:r>
              <w:rPr>
                <w:rFonts w:ascii="Times New Roman Regular" w:hAnsi="Times New Roman Regular" w:cs="Times New Roman Regular"/>
                <w:b w:val="0"/>
                <w:bCs w:val="0"/>
                <w:sz w:val="20"/>
                <w:szCs w:val="20"/>
              </w:rPr>
              <w:t>对</w:t>
            </w:r>
          </w:p>
          <w:p w14:paraId="1A5B4D3D">
            <w:pPr>
              <w:spacing w:line="300" w:lineRule="auto"/>
              <w:rPr>
                <w:rFonts w:ascii="Times New Roman Regular" w:hAnsi="Times New Roman Regular" w:cs="Times New Roman Regular"/>
                <w:b w:val="0"/>
                <w:bCs w:val="0"/>
                <w:sz w:val="20"/>
                <w:szCs w:val="20"/>
              </w:rPr>
            </w:pPr>
            <w:r>
              <w:rPr>
                <w:rFonts w:ascii="Times New Roman Regular" w:hAnsi="Times New Roman Regular" w:cs="Times New Roman Regular"/>
                <w:b w:val="0"/>
                <w:bCs w:val="0"/>
                <w:sz w:val="20"/>
                <w:szCs w:val="20"/>
              </w:rPr>
              <w:t>预</w:t>
            </w:r>
          </w:p>
          <w:p w14:paraId="511E4731">
            <w:pPr>
              <w:spacing w:line="300" w:lineRule="auto"/>
              <w:rPr>
                <w:rFonts w:ascii="Times New Roman Regular" w:hAnsi="Times New Roman Regular" w:cs="Times New Roman Regular"/>
                <w:b w:val="0"/>
                <w:bCs w:val="0"/>
                <w:sz w:val="20"/>
                <w:szCs w:val="20"/>
              </w:rPr>
            </w:pPr>
            <w:r>
              <w:rPr>
                <w:rFonts w:ascii="Times New Roman Regular" w:hAnsi="Times New Roman Regular" w:cs="Times New Roman Regular"/>
                <w:b w:val="0"/>
                <w:bCs w:val="0"/>
                <w:sz w:val="20"/>
                <w:szCs w:val="20"/>
              </w:rPr>
              <w:t>案</w:t>
            </w:r>
          </w:p>
        </w:tc>
        <w:tc>
          <w:tcPr>
            <w:tcW w:w="4220" w:type="dxa"/>
            <w:vAlign w:val="center"/>
          </w:tcPr>
          <w:p w14:paraId="2B509296">
            <w:pPr>
              <w:spacing w:line="300" w:lineRule="auto"/>
              <w:rPr>
                <w:rFonts w:ascii="Times New Roman Regular" w:hAnsi="Times New Roman Regular" w:cs="Times New Roman Regular"/>
                <w:b w:val="0"/>
                <w:bCs w:val="0"/>
                <w:sz w:val="20"/>
                <w:szCs w:val="20"/>
              </w:rPr>
            </w:pPr>
            <w:r>
              <w:rPr>
                <w:rFonts w:ascii="Times New Roman Regular" w:hAnsi="Times New Roman Regular" w:cs="Times New Roman Regular"/>
                <w:b w:val="0"/>
                <w:bCs w:val="0"/>
                <w:sz w:val="20"/>
                <w:szCs w:val="20"/>
              </w:rPr>
              <w:t>应对步骤</w:t>
            </w:r>
          </w:p>
        </w:tc>
        <w:tc>
          <w:tcPr>
            <w:tcW w:w="1074" w:type="dxa"/>
            <w:vAlign w:val="center"/>
          </w:tcPr>
          <w:p w14:paraId="23A9D059">
            <w:pPr>
              <w:spacing w:line="300" w:lineRule="auto"/>
              <w:ind w:right="125" w:rightChars="39"/>
              <w:rPr>
                <w:rFonts w:ascii="Times New Roman Regular" w:hAnsi="Times New Roman Regular" w:cs="Times New Roman Regular"/>
                <w:b w:val="0"/>
                <w:bCs w:val="0"/>
                <w:sz w:val="20"/>
                <w:szCs w:val="20"/>
              </w:rPr>
            </w:pPr>
            <w:r>
              <w:rPr>
                <w:rFonts w:ascii="Times New Roman Regular" w:hAnsi="Times New Roman Regular" w:cs="Times New Roman Regular"/>
                <w:b w:val="0"/>
                <w:bCs w:val="0"/>
                <w:sz w:val="20"/>
                <w:szCs w:val="20"/>
              </w:rPr>
              <w:t>主责单位</w:t>
            </w:r>
          </w:p>
        </w:tc>
        <w:tc>
          <w:tcPr>
            <w:tcW w:w="1535" w:type="dxa"/>
            <w:vAlign w:val="center"/>
          </w:tcPr>
          <w:p w14:paraId="2D579D05">
            <w:pPr>
              <w:spacing w:line="300" w:lineRule="auto"/>
              <w:ind w:right="269" w:rightChars="84"/>
              <w:rPr>
                <w:rFonts w:ascii="Times New Roman Regular" w:hAnsi="Times New Roman Regular" w:cs="Times New Roman Regular"/>
                <w:b w:val="0"/>
                <w:bCs w:val="0"/>
                <w:sz w:val="20"/>
                <w:szCs w:val="20"/>
              </w:rPr>
            </w:pPr>
            <w:r>
              <w:rPr>
                <w:rFonts w:ascii="Times New Roman Regular" w:hAnsi="Times New Roman Regular" w:cs="Times New Roman Regular"/>
                <w:b w:val="0"/>
                <w:bCs w:val="0"/>
                <w:sz w:val="20"/>
                <w:szCs w:val="20"/>
              </w:rPr>
              <w:t>配合单位</w:t>
            </w:r>
          </w:p>
        </w:tc>
        <w:tc>
          <w:tcPr>
            <w:tcW w:w="1162" w:type="dxa"/>
            <w:vAlign w:val="center"/>
          </w:tcPr>
          <w:p w14:paraId="62085F2D">
            <w:pPr>
              <w:spacing w:line="300" w:lineRule="auto"/>
              <w:ind w:right="141" w:rightChars="44"/>
              <w:rPr>
                <w:rFonts w:ascii="Times New Roman Regular" w:hAnsi="Times New Roman Regular" w:cs="Times New Roman Regular"/>
                <w:b w:val="0"/>
                <w:bCs w:val="0"/>
                <w:sz w:val="20"/>
                <w:szCs w:val="20"/>
              </w:rPr>
            </w:pPr>
            <w:r>
              <w:rPr>
                <w:rFonts w:ascii="Times New Roman Regular" w:hAnsi="Times New Roman Regular" w:cs="Times New Roman Regular"/>
                <w:b w:val="0"/>
                <w:bCs w:val="0"/>
                <w:sz w:val="20"/>
                <w:szCs w:val="20"/>
              </w:rPr>
              <w:t>资源需求</w:t>
            </w:r>
          </w:p>
        </w:tc>
      </w:tr>
      <w:tr w14:paraId="2308A92E">
        <w:tblPrEx>
          <w:tblBorders>
            <w:top w:val="double" w:color="000000" w:sz="6" w:space="0"/>
            <w:left w:val="double" w:color="000000" w:sz="6" w:space="0"/>
            <w:bottom w:val="double" w:color="000000" w:sz="6" w:space="0"/>
            <w:right w:val="double" w:color="000000" w:sz="6" w:space="0"/>
            <w:insideH w:val="double" w:color="000000" w:sz="6" w:space="0"/>
            <w:insideV w:val="single" w:color="000000" w:sz="6" w:space="0"/>
          </w:tblBorders>
          <w:tblCellMar>
            <w:top w:w="0" w:type="dxa"/>
            <w:left w:w="108" w:type="dxa"/>
            <w:bottom w:w="0" w:type="dxa"/>
            <w:right w:w="108" w:type="dxa"/>
          </w:tblCellMar>
        </w:tblPrEx>
        <w:trPr>
          <w:trHeight w:val="1247" w:hRule="atLeast"/>
          <w:jc w:val="center"/>
        </w:trPr>
        <w:tc>
          <w:tcPr>
            <w:tcW w:w="1108" w:type="dxa"/>
            <w:vMerge w:val="continue"/>
            <w:vAlign w:val="center"/>
          </w:tcPr>
          <w:p w14:paraId="1FD116D1">
            <w:pPr>
              <w:rPr>
                <w:rFonts w:ascii="Times New Roman Regular" w:hAnsi="Times New Roman Regular" w:cs="Times New Roman Regular"/>
                <w:b w:val="0"/>
                <w:bCs w:val="0"/>
                <w:sz w:val="20"/>
                <w:szCs w:val="20"/>
              </w:rPr>
            </w:pPr>
          </w:p>
        </w:tc>
        <w:tc>
          <w:tcPr>
            <w:tcW w:w="4220" w:type="dxa"/>
            <w:vAlign w:val="center"/>
          </w:tcPr>
          <w:p w14:paraId="742C0E54">
            <w:pPr>
              <w:spacing w:line="300" w:lineRule="auto"/>
              <w:jc w:val="both"/>
              <w:rPr>
                <w:rFonts w:ascii="Times New Roman Regular" w:hAnsi="Times New Roman Regular" w:cs="Times New Roman Regular"/>
                <w:b w:val="0"/>
                <w:bCs w:val="0"/>
                <w:sz w:val="20"/>
                <w:szCs w:val="20"/>
              </w:rPr>
            </w:pPr>
            <w:r>
              <w:rPr>
                <w:rFonts w:hint="eastAsia" w:ascii="Times New Roman Regular" w:hAnsi="Times New Roman Regular" w:cs="Times New Roman Regular"/>
                <w:b w:val="0"/>
                <w:bCs w:val="0"/>
                <w:sz w:val="20"/>
                <w:szCs w:val="20"/>
              </w:rPr>
              <w:t>1、</w:t>
            </w:r>
            <w:r>
              <w:rPr>
                <w:rFonts w:ascii="Times New Roman Regular" w:hAnsi="Times New Roman Regular" w:cs="Times New Roman Regular"/>
                <w:b w:val="0"/>
                <w:bCs w:val="0"/>
                <w:sz w:val="20"/>
                <w:szCs w:val="20"/>
              </w:rPr>
              <w:t>赛事组委会相关部门收到通知后，通知竞赛负责人及比赛监督</w:t>
            </w:r>
            <w:r>
              <w:rPr>
                <w:rFonts w:hint="eastAsia" w:ascii="Times New Roman Regular" w:hAnsi="Times New Roman Regular" w:cs="Times New Roman Regular"/>
                <w:b w:val="0"/>
                <w:bCs w:val="0"/>
                <w:sz w:val="20"/>
                <w:szCs w:val="20"/>
              </w:rPr>
              <w:t>（技术代表）</w:t>
            </w:r>
            <w:r>
              <w:rPr>
                <w:rFonts w:ascii="Times New Roman Regular" w:hAnsi="Times New Roman Regular" w:cs="Times New Roman Regular"/>
                <w:b w:val="0"/>
                <w:bCs w:val="0"/>
                <w:sz w:val="20"/>
                <w:szCs w:val="20"/>
              </w:rPr>
              <w:t>，并研判是否启动熔断机制。</w:t>
            </w:r>
          </w:p>
        </w:tc>
        <w:tc>
          <w:tcPr>
            <w:tcW w:w="1074" w:type="dxa"/>
            <w:vAlign w:val="center"/>
          </w:tcPr>
          <w:p w14:paraId="351384EC">
            <w:pPr>
              <w:spacing w:line="300" w:lineRule="auto"/>
              <w:ind w:right="125" w:rightChars="39"/>
              <w:rPr>
                <w:rFonts w:ascii="Times New Roman Regular" w:hAnsi="Times New Roman Regular" w:cs="Times New Roman Regular"/>
                <w:b w:val="0"/>
                <w:bCs w:val="0"/>
                <w:sz w:val="20"/>
                <w:szCs w:val="20"/>
              </w:rPr>
            </w:pPr>
            <w:r>
              <w:rPr>
                <w:rFonts w:ascii="Times New Roman Regular" w:hAnsi="Times New Roman Regular" w:cs="Times New Roman Regular"/>
                <w:b w:val="0"/>
                <w:bCs w:val="0"/>
                <w:sz w:val="20"/>
                <w:szCs w:val="20"/>
              </w:rPr>
              <w:t>竞赛</w:t>
            </w:r>
          </w:p>
        </w:tc>
        <w:tc>
          <w:tcPr>
            <w:tcW w:w="1535" w:type="dxa"/>
            <w:vAlign w:val="center"/>
          </w:tcPr>
          <w:p w14:paraId="0FB26862">
            <w:pPr>
              <w:spacing w:line="300" w:lineRule="auto"/>
              <w:ind w:right="269" w:rightChars="84"/>
              <w:rPr>
                <w:rFonts w:ascii="Times New Roman Regular" w:hAnsi="Times New Roman Regular" w:cs="Times New Roman Regular"/>
                <w:b w:val="0"/>
                <w:bCs w:val="0"/>
                <w:sz w:val="20"/>
                <w:szCs w:val="20"/>
              </w:rPr>
            </w:pPr>
            <w:r>
              <w:rPr>
                <w:rFonts w:ascii="Times New Roman Regular" w:hAnsi="Times New Roman Regular" w:cs="Times New Roman Regular"/>
                <w:b w:val="0"/>
                <w:bCs w:val="0"/>
                <w:sz w:val="20"/>
                <w:szCs w:val="20"/>
              </w:rPr>
              <w:t>赛事组委</w:t>
            </w:r>
            <w:r>
              <w:rPr>
                <w:rFonts w:hint="eastAsia" w:ascii="Times New Roman Regular" w:hAnsi="Times New Roman Regular" w:cs="Times New Roman Regular"/>
                <w:b w:val="0"/>
                <w:bCs w:val="0"/>
                <w:sz w:val="20"/>
                <w:szCs w:val="20"/>
              </w:rPr>
              <w:t>会</w:t>
            </w:r>
          </w:p>
          <w:p w14:paraId="5ADC1915">
            <w:pPr>
              <w:spacing w:line="300" w:lineRule="auto"/>
              <w:ind w:right="269" w:rightChars="84"/>
              <w:rPr>
                <w:rFonts w:ascii="Times New Roman Regular" w:hAnsi="Times New Roman Regular" w:cs="Times New Roman Regular"/>
                <w:b w:val="0"/>
                <w:bCs w:val="0"/>
                <w:sz w:val="20"/>
                <w:szCs w:val="20"/>
              </w:rPr>
            </w:pPr>
            <w:r>
              <w:rPr>
                <w:rFonts w:ascii="Times New Roman Regular" w:hAnsi="Times New Roman Regular" w:cs="Times New Roman Regular"/>
                <w:b w:val="0"/>
                <w:bCs w:val="0"/>
                <w:sz w:val="20"/>
                <w:szCs w:val="20"/>
              </w:rPr>
              <w:t>其他部门</w:t>
            </w:r>
          </w:p>
        </w:tc>
        <w:tc>
          <w:tcPr>
            <w:tcW w:w="1162" w:type="dxa"/>
            <w:vAlign w:val="center"/>
          </w:tcPr>
          <w:p w14:paraId="0CEB9630">
            <w:pPr>
              <w:spacing w:line="300" w:lineRule="auto"/>
              <w:ind w:right="141" w:rightChars="44"/>
              <w:rPr>
                <w:rFonts w:ascii="Times New Roman Regular" w:hAnsi="Times New Roman Regular" w:cs="Times New Roman Regular"/>
                <w:b w:val="0"/>
                <w:bCs w:val="0"/>
                <w:sz w:val="20"/>
                <w:szCs w:val="20"/>
              </w:rPr>
            </w:pPr>
            <w:r>
              <w:rPr>
                <w:rFonts w:hint="eastAsia" w:ascii="Times New Roman Regular" w:hAnsi="Times New Roman Regular" w:cs="Times New Roman Regular"/>
                <w:b w:val="0"/>
                <w:bCs w:val="0"/>
                <w:sz w:val="20"/>
                <w:szCs w:val="20"/>
              </w:rPr>
              <w:t>相关书面材料</w:t>
            </w:r>
          </w:p>
        </w:tc>
      </w:tr>
      <w:tr w14:paraId="1CA4F8A9">
        <w:tblPrEx>
          <w:tblBorders>
            <w:top w:val="double" w:color="000000" w:sz="6" w:space="0"/>
            <w:left w:val="double" w:color="000000" w:sz="6" w:space="0"/>
            <w:bottom w:val="double" w:color="000000" w:sz="6" w:space="0"/>
            <w:right w:val="double" w:color="000000" w:sz="6" w:space="0"/>
            <w:insideH w:val="double" w:color="000000" w:sz="6" w:space="0"/>
            <w:insideV w:val="single" w:color="000000" w:sz="6" w:space="0"/>
          </w:tblBorders>
          <w:tblCellMar>
            <w:top w:w="0" w:type="dxa"/>
            <w:left w:w="108" w:type="dxa"/>
            <w:bottom w:w="0" w:type="dxa"/>
            <w:right w:w="108" w:type="dxa"/>
          </w:tblCellMar>
        </w:tblPrEx>
        <w:trPr>
          <w:trHeight w:val="923" w:hRule="atLeast"/>
          <w:jc w:val="center"/>
        </w:trPr>
        <w:tc>
          <w:tcPr>
            <w:tcW w:w="1108" w:type="dxa"/>
            <w:vMerge w:val="continue"/>
            <w:vAlign w:val="center"/>
          </w:tcPr>
          <w:p w14:paraId="1ADD8B2B">
            <w:pPr>
              <w:rPr>
                <w:rFonts w:ascii="Times New Roman Regular" w:hAnsi="Times New Roman Regular" w:cs="Times New Roman Regular"/>
                <w:b w:val="0"/>
                <w:bCs w:val="0"/>
                <w:sz w:val="20"/>
                <w:szCs w:val="20"/>
              </w:rPr>
            </w:pPr>
          </w:p>
        </w:tc>
        <w:tc>
          <w:tcPr>
            <w:tcW w:w="4220" w:type="dxa"/>
            <w:vAlign w:val="center"/>
          </w:tcPr>
          <w:p w14:paraId="255A0B64">
            <w:pPr>
              <w:spacing w:line="300" w:lineRule="auto"/>
              <w:jc w:val="both"/>
              <w:rPr>
                <w:rFonts w:ascii="Times New Roman Regular" w:hAnsi="Times New Roman Regular" w:cs="Times New Roman Regular"/>
                <w:b w:val="0"/>
                <w:bCs w:val="0"/>
                <w:sz w:val="20"/>
                <w:szCs w:val="20"/>
              </w:rPr>
            </w:pPr>
            <w:r>
              <w:rPr>
                <w:rFonts w:hint="eastAsia" w:ascii="Times New Roman Regular" w:hAnsi="Times New Roman Regular" w:cs="Times New Roman Regular"/>
                <w:b w:val="0"/>
                <w:bCs w:val="0"/>
                <w:sz w:val="20"/>
                <w:szCs w:val="20"/>
              </w:rPr>
              <w:t>2、</w:t>
            </w:r>
            <w:r>
              <w:rPr>
                <w:rFonts w:ascii="Times New Roman Regular" w:hAnsi="Times New Roman Regular" w:cs="Times New Roman Regular"/>
                <w:b w:val="0"/>
                <w:bCs w:val="0"/>
                <w:sz w:val="20"/>
                <w:szCs w:val="20"/>
              </w:rPr>
              <w:t>比赛监督和赛事举办者</w:t>
            </w:r>
            <w:r>
              <w:rPr>
                <w:rFonts w:hint="eastAsia" w:ascii="Times New Roman Regular" w:hAnsi="Times New Roman Regular" w:cs="Times New Roman Regular"/>
                <w:b w:val="0"/>
                <w:bCs w:val="0"/>
                <w:sz w:val="20"/>
                <w:szCs w:val="20"/>
              </w:rPr>
              <w:t>，根据通知或现场突发情况，</w:t>
            </w:r>
            <w:r>
              <w:rPr>
                <w:rFonts w:ascii="Times New Roman Regular" w:hAnsi="Times New Roman Regular" w:cs="Times New Roman Regular"/>
                <w:b w:val="0"/>
                <w:bCs w:val="0"/>
                <w:sz w:val="20"/>
                <w:szCs w:val="20"/>
              </w:rPr>
              <w:t>应当即</w:t>
            </w:r>
            <w:r>
              <w:rPr>
                <w:rFonts w:hint="eastAsia" w:ascii="Times New Roman Regular" w:hAnsi="Times New Roman Regular" w:cs="Times New Roman Regular"/>
                <w:b w:val="0"/>
                <w:bCs w:val="0"/>
                <w:sz w:val="20"/>
                <w:szCs w:val="20"/>
              </w:rPr>
              <w:t>作</w:t>
            </w:r>
            <w:r>
              <w:rPr>
                <w:rFonts w:ascii="Times New Roman Regular" w:hAnsi="Times New Roman Regular" w:cs="Times New Roman Regular"/>
                <w:b w:val="0"/>
                <w:bCs w:val="0"/>
                <w:sz w:val="20"/>
                <w:szCs w:val="20"/>
              </w:rPr>
              <w:t>出是否中止比赛的决定。</w:t>
            </w:r>
          </w:p>
        </w:tc>
        <w:tc>
          <w:tcPr>
            <w:tcW w:w="1074" w:type="dxa"/>
            <w:vAlign w:val="center"/>
          </w:tcPr>
          <w:p w14:paraId="76FD7BE4">
            <w:pPr>
              <w:spacing w:line="300" w:lineRule="auto"/>
              <w:ind w:right="125" w:rightChars="39"/>
              <w:rPr>
                <w:rFonts w:ascii="Times New Roman Regular" w:hAnsi="Times New Roman Regular" w:cs="Times New Roman Regular"/>
                <w:b w:val="0"/>
                <w:bCs w:val="0"/>
                <w:sz w:val="20"/>
                <w:szCs w:val="20"/>
              </w:rPr>
            </w:pPr>
            <w:r>
              <w:rPr>
                <w:rFonts w:ascii="Times New Roman Regular" w:hAnsi="Times New Roman Regular" w:cs="Times New Roman Regular"/>
                <w:b w:val="0"/>
                <w:bCs w:val="0"/>
                <w:sz w:val="20"/>
                <w:szCs w:val="20"/>
              </w:rPr>
              <w:t>竞赛</w:t>
            </w:r>
          </w:p>
        </w:tc>
        <w:tc>
          <w:tcPr>
            <w:tcW w:w="1535" w:type="dxa"/>
            <w:vAlign w:val="center"/>
          </w:tcPr>
          <w:p w14:paraId="19950212">
            <w:pPr>
              <w:spacing w:line="300" w:lineRule="auto"/>
              <w:ind w:right="269" w:rightChars="84"/>
              <w:rPr>
                <w:rFonts w:ascii="Times New Roman Regular" w:hAnsi="Times New Roman Regular" w:cs="Times New Roman Regular"/>
                <w:b w:val="0"/>
                <w:bCs w:val="0"/>
                <w:sz w:val="20"/>
                <w:szCs w:val="20"/>
              </w:rPr>
            </w:pPr>
            <w:r>
              <w:rPr>
                <w:rFonts w:ascii="Times New Roman Regular" w:hAnsi="Times New Roman Regular" w:cs="Times New Roman Regular"/>
                <w:b w:val="0"/>
                <w:bCs w:val="0"/>
                <w:sz w:val="20"/>
                <w:szCs w:val="20"/>
              </w:rPr>
              <w:t>赛事</w:t>
            </w:r>
          </w:p>
          <w:p w14:paraId="5DC7221A">
            <w:pPr>
              <w:spacing w:line="300" w:lineRule="auto"/>
              <w:ind w:right="269" w:rightChars="84"/>
              <w:rPr>
                <w:rFonts w:ascii="Times New Roman Regular" w:hAnsi="Times New Roman Regular" w:cs="Times New Roman Regular"/>
                <w:b w:val="0"/>
                <w:bCs w:val="0"/>
                <w:sz w:val="20"/>
                <w:szCs w:val="20"/>
              </w:rPr>
            </w:pPr>
            <w:r>
              <w:rPr>
                <w:rFonts w:ascii="Times New Roman Regular" w:hAnsi="Times New Roman Regular" w:cs="Times New Roman Regular"/>
                <w:b w:val="0"/>
                <w:bCs w:val="0"/>
                <w:sz w:val="20"/>
                <w:szCs w:val="20"/>
              </w:rPr>
              <w:t>组委会</w:t>
            </w:r>
          </w:p>
        </w:tc>
        <w:tc>
          <w:tcPr>
            <w:tcW w:w="1162" w:type="dxa"/>
            <w:vAlign w:val="center"/>
          </w:tcPr>
          <w:p w14:paraId="5DCB4B57">
            <w:pPr>
              <w:spacing w:line="300" w:lineRule="auto"/>
              <w:ind w:right="141" w:rightChars="44"/>
              <w:rPr>
                <w:rFonts w:ascii="Times New Roman Regular" w:hAnsi="Times New Roman Regular" w:cs="Times New Roman Regular"/>
                <w:b w:val="0"/>
                <w:bCs w:val="0"/>
                <w:sz w:val="20"/>
                <w:szCs w:val="20"/>
              </w:rPr>
            </w:pPr>
          </w:p>
        </w:tc>
      </w:tr>
      <w:tr w14:paraId="370AE4F4">
        <w:tblPrEx>
          <w:tblBorders>
            <w:top w:val="double" w:color="000000" w:sz="6" w:space="0"/>
            <w:left w:val="double" w:color="000000" w:sz="6" w:space="0"/>
            <w:bottom w:val="double" w:color="000000" w:sz="6" w:space="0"/>
            <w:right w:val="double" w:color="000000" w:sz="6" w:space="0"/>
            <w:insideH w:val="double" w:color="000000" w:sz="6" w:space="0"/>
            <w:insideV w:val="single" w:color="000000" w:sz="6" w:space="0"/>
          </w:tblBorders>
          <w:tblCellMar>
            <w:top w:w="0" w:type="dxa"/>
            <w:left w:w="108" w:type="dxa"/>
            <w:bottom w:w="0" w:type="dxa"/>
            <w:right w:w="108" w:type="dxa"/>
          </w:tblCellMar>
        </w:tblPrEx>
        <w:trPr>
          <w:trHeight w:val="923" w:hRule="atLeast"/>
          <w:jc w:val="center"/>
        </w:trPr>
        <w:tc>
          <w:tcPr>
            <w:tcW w:w="1108" w:type="dxa"/>
            <w:vMerge w:val="continue"/>
            <w:vAlign w:val="center"/>
          </w:tcPr>
          <w:p w14:paraId="5E536575">
            <w:pPr>
              <w:rPr>
                <w:rFonts w:ascii="Times New Roman Regular" w:hAnsi="Times New Roman Regular" w:cs="Times New Roman Regular"/>
                <w:b w:val="0"/>
                <w:bCs w:val="0"/>
                <w:sz w:val="20"/>
                <w:szCs w:val="20"/>
              </w:rPr>
            </w:pPr>
          </w:p>
        </w:tc>
        <w:tc>
          <w:tcPr>
            <w:tcW w:w="4220" w:type="dxa"/>
            <w:vAlign w:val="center"/>
          </w:tcPr>
          <w:p w14:paraId="31AA1224">
            <w:pPr>
              <w:spacing w:line="300" w:lineRule="auto"/>
              <w:jc w:val="both"/>
              <w:rPr>
                <w:rFonts w:ascii="Times New Roman Regular" w:hAnsi="Times New Roman Regular" w:cs="Times New Roman Regular"/>
                <w:b w:val="0"/>
                <w:bCs w:val="0"/>
                <w:sz w:val="20"/>
                <w:szCs w:val="20"/>
              </w:rPr>
            </w:pPr>
            <w:r>
              <w:rPr>
                <w:rFonts w:hint="eastAsia" w:ascii="Times New Roman Regular" w:hAnsi="Times New Roman Regular" w:cs="Times New Roman Regular"/>
                <w:b w:val="0"/>
                <w:bCs w:val="0"/>
                <w:sz w:val="20"/>
                <w:szCs w:val="20"/>
              </w:rPr>
              <w:t>3、</w:t>
            </w:r>
            <w:r>
              <w:rPr>
                <w:rFonts w:ascii="Times New Roman Regular" w:hAnsi="Times New Roman Regular" w:cs="Times New Roman Regular"/>
                <w:b w:val="0"/>
                <w:bCs w:val="0"/>
                <w:sz w:val="20"/>
                <w:szCs w:val="20"/>
              </w:rPr>
              <w:t>赛事举办方犹豫不决或拒不采纳启动“熔断”机制建议的，比赛监督和技术代表有权直接向上级部门和所在地体育部门报告。</w:t>
            </w:r>
          </w:p>
        </w:tc>
        <w:tc>
          <w:tcPr>
            <w:tcW w:w="1074" w:type="dxa"/>
            <w:vAlign w:val="center"/>
          </w:tcPr>
          <w:p w14:paraId="089041E0">
            <w:pPr>
              <w:spacing w:line="300" w:lineRule="auto"/>
              <w:ind w:right="125" w:rightChars="39"/>
              <w:rPr>
                <w:rFonts w:ascii="Times New Roman Regular" w:hAnsi="Times New Roman Regular" w:cs="Times New Roman Regular"/>
                <w:b w:val="0"/>
                <w:bCs w:val="0"/>
                <w:sz w:val="20"/>
                <w:szCs w:val="20"/>
              </w:rPr>
            </w:pPr>
            <w:r>
              <w:rPr>
                <w:rFonts w:ascii="Times New Roman Regular" w:hAnsi="Times New Roman Regular" w:cs="Times New Roman Regular"/>
                <w:b w:val="0"/>
                <w:bCs w:val="0"/>
                <w:sz w:val="20"/>
                <w:szCs w:val="20"/>
              </w:rPr>
              <w:t>竞赛</w:t>
            </w:r>
          </w:p>
        </w:tc>
        <w:tc>
          <w:tcPr>
            <w:tcW w:w="1535" w:type="dxa"/>
            <w:vAlign w:val="center"/>
          </w:tcPr>
          <w:p w14:paraId="396EA081">
            <w:pPr>
              <w:spacing w:line="300" w:lineRule="auto"/>
              <w:ind w:right="269" w:rightChars="84"/>
              <w:rPr>
                <w:rFonts w:ascii="Times New Roman Regular" w:hAnsi="Times New Roman Regular" w:cs="Times New Roman Regular"/>
                <w:b w:val="0"/>
                <w:bCs w:val="0"/>
                <w:sz w:val="20"/>
                <w:szCs w:val="20"/>
              </w:rPr>
            </w:pPr>
            <w:r>
              <w:rPr>
                <w:rFonts w:ascii="Times New Roman Regular" w:hAnsi="Times New Roman Regular" w:cs="Times New Roman Regular"/>
                <w:b w:val="0"/>
                <w:bCs w:val="0"/>
                <w:sz w:val="20"/>
                <w:szCs w:val="20"/>
              </w:rPr>
              <w:t>地方体育</w:t>
            </w:r>
          </w:p>
          <w:p w14:paraId="208B07E3">
            <w:pPr>
              <w:spacing w:line="300" w:lineRule="auto"/>
              <w:ind w:right="269" w:rightChars="84"/>
              <w:rPr>
                <w:rFonts w:ascii="Times New Roman Regular" w:hAnsi="Times New Roman Regular" w:cs="Times New Roman Regular"/>
                <w:b w:val="0"/>
                <w:bCs w:val="0"/>
                <w:sz w:val="20"/>
                <w:szCs w:val="20"/>
              </w:rPr>
            </w:pPr>
            <w:r>
              <w:rPr>
                <w:rFonts w:ascii="Times New Roman Regular" w:hAnsi="Times New Roman Regular" w:cs="Times New Roman Regular"/>
                <w:b w:val="0"/>
                <w:bCs w:val="0"/>
                <w:sz w:val="20"/>
                <w:szCs w:val="20"/>
              </w:rPr>
              <w:t>部门</w:t>
            </w:r>
          </w:p>
        </w:tc>
        <w:tc>
          <w:tcPr>
            <w:tcW w:w="1162" w:type="dxa"/>
            <w:vAlign w:val="center"/>
          </w:tcPr>
          <w:p w14:paraId="31CD016D">
            <w:pPr>
              <w:spacing w:line="300" w:lineRule="auto"/>
              <w:ind w:right="141" w:rightChars="44"/>
              <w:rPr>
                <w:rFonts w:ascii="Times New Roman Regular" w:hAnsi="Times New Roman Regular" w:cs="Times New Roman Regular"/>
                <w:b w:val="0"/>
                <w:bCs w:val="0"/>
                <w:sz w:val="20"/>
                <w:szCs w:val="20"/>
              </w:rPr>
            </w:pPr>
          </w:p>
        </w:tc>
      </w:tr>
      <w:tr w14:paraId="30D6CA74">
        <w:tblPrEx>
          <w:tblBorders>
            <w:top w:val="double" w:color="000000" w:sz="6" w:space="0"/>
            <w:left w:val="double" w:color="000000" w:sz="6" w:space="0"/>
            <w:bottom w:val="double" w:color="000000" w:sz="6" w:space="0"/>
            <w:right w:val="double" w:color="000000" w:sz="6" w:space="0"/>
            <w:insideH w:val="double" w:color="000000" w:sz="6" w:space="0"/>
            <w:insideV w:val="single" w:color="000000" w:sz="6" w:space="0"/>
          </w:tblBorders>
          <w:tblCellMar>
            <w:top w:w="0" w:type="dxa"/>
            <w:left w:w="108" w:type="dxa"/>
            <w:bottom w:w="0" w:type="dxa"/>
            <w:right w:w="108" w:type="dxa"/>
          </w:tblCellMar>
        </w:tblPrEx>
        <w:trPr>
          <w:trHeight w:val="923" w:hRule="atLeast"/>
          <w:jc w:val="center"/>
        </w:trPr>
        <w:tc>
          <w:tcPr>
            <w:tcW w:w="1108" w:type="dxa"/>
            <w:vMerge w:val="continue"/>
            <w:vAlign w:val="center"/>
          </w:tcPr>
          <w:p w14:paraId="23D33259">
            <w:pPr>
              <w:rPr>
                <w:rFonts w:ascii="Times New Roman Regular" w:hAnsi="Times New Roman Regular" w:cs="Times New Roman Regular"/>
                <w:b w:val="0"/>
                <w:bCs w:val="0"/>
                <w:sz w:val="20"/>
                <w:szCs w:val="20"/>
              </w:rPr>
            </w:pPr>
          </w:p>
        </w:tc>
        <w:tc>
          <w:tcPr>
            <w:tcW w:w="4220" w:type="dxa"/>
            <w:vAlign w:val="center"/>
          </w:tcPr>
          <w:p w14:paraId="56B9372C">
            <w:pPr>
              <w:spacing w:line="300" w:lineRule="auto"/>
              <w:jc w:val="both"/>
              <w:rPr>
                <w:rFonts w:ascii="Times New Roman Regular" w:hAnsi="Times New Roman Regular" w:cs="Times New Roman Regular"/>
                <w:b w:val="0"/>
                <w:bCs w:val="0"/>
                <w:sz w:val="20"/>
                <w:szCs w:val="20"/>
              </w:rPr>
            </w:pPr>
            <w:r>
              <w:rPr>
                <w:rFonts w:hint="eastAsia" w:ascii="Times New Roman Regular" w:hAnsi="Times New Roman Regular" w:cs="Times New Roman Regular"/>
                <w:b w:val="0"/>
                <w:bCs w:val="0"/>
                <w:sz w:val="20"/>
                <w:szCs w:val="20"/>
              </w:rPr>
              <w:t>4、</w:t>
            </w:r>
            <w:r>
              <w:rPr>
                <w:rFonts w:ascii="Times New Roman Regular" w:hAnsi="Times New Roman Regular" w:cs="Times New Roman Regular"/>
                <w:b w:val="0"/>
                <w:bCs w:val="0"/>
                <w:sz w:val="20"/>
                <w:szCs w:val="20"/>
              </w:rPr>
              <w:t>地方体育部门</w:t>
            </w:r>
            <w:r>
              <w:rPr>
                <w:rFonts w:hint="eastAsia" w:ascii="Times New Roman Regular" w:hAnsi="Times New Roman Regular" w:cs="Times New Roman Regular"/>
                <w:b w:val="0"/>
                <w:bCs w:val="0"/>
                <w:sz w:val="20"/>
                <w:szCs w:val="20"/>
              </w:rPr>
              <w:t>作</w:t>
            </w:r>
            <w:r>
              <w:rPr>
                <w:rFonts w:ascii="Times New Roman Regular" w:hAnsi="Times New Roman Regular" w:cs="Times New Roman Regular"/>
                <w:b w:val="0"/>
                <w:bCs w:val="0"/>
                <w:sz w:val="20"/>
                <w:szCs w:val="20"/>
              </w:rPr>
              <w:t>出是否中止比赛的决定。涉及重大体育赛事活动的，地方体育部门应立即</w:t>
            </w:r>
            <w:r>
              <w:rPr>
                <w:rFonts w:hint="eastAsia" w:ascii="Times New Roman Regular" w:hAnsi="Times New Roman Regular" w:cs="Times New Roman Regular"/>
                <w:b w:val="0"/>
                <w:bCs w:val="0"/>
                <w:sz w:val="20"/>
                <w:szCs w:val="20"/>
              </w:rPr>
              <w:t>报请当地</w:t>
            </w:r>
            <w:r>
              <w:rPr>
                <w:rFonts w:ascii="Times New Roman Regular" w:hAnsi="Times New Roman Regular" w:cs="Times New Roman Regular"/>
                <w:b w:val="0"/>
                <w:bCs w:val="0"/>
                <w:sz w:val="20"/>
                <w:szCs w:val="20"/>
              </w:rPr>
              <w:t>政府，提出启动“熔断”机制。</w:t>
            </w:r>
          </w:p>
        </w:tc>
        <w:tc>
          <w:tcPr>
            <w:tcW w:w="1074" w:type="dxa"/>
            <w:vAlign w:val="center"/>
          </w:tcPr>
          <w:p w14:paraId="61964843">
            <w:pPr>
              <w:spacing w:line="300" w:lineRule="auto"/>
              <w:ind w:right="125" w:rightChars="39"/>
              <w:rPr>
                <w:rFonts w:ascii="Times New Roman Regular" w:hAnsi="Times New Roman Regular" w:cs="Times New Roman Regular"/>
                <w:b w:val="0"/>
                <w:bCs w:val="0"/>
                <w:sz w:val="20"/>
                <w:szCs w:val="20"/>
              </w:rPr>
            </w:pPr>
            <w:r>
              <w:rPr>
                <w:rFonts w:ascii="Times New Roman Regular" w:hAnsi="Times New Roman Regular" w:cs="Times New Roman Regular"/>
                <w:b w:val="0"/>
                <w:bCs w:val="0"/>
                <w:sz w:val="20"/>
                <w:szCs w:val="20"/>
              </w:rPr>
              <w:t>地方体育部门</w:t>
            </w:r>
          </w:p>
        </w:tc>
        <w:tc>
          <w:tcPr>
            <w:tcW w:w="1535" w:type="dxa"/>
            <w:vAlign w:val="center"/>
          </w:tcPr>
          <w:p w14:paraId="29ECB0B4">
            <w:pPr>
              <w:spacing w:line="300" w:lineRule="auto"/>
              <w:ind w:right="269" w:rightChars="84"/>
              <w:rPr>
                <w:rFonts w:ascii="Times New Roman Regular" w:hAnsi="Times New Roman Regular" w:cs="Times New Roman Regular"/>
                <w:b w:val="0"/>
                <w:bCs w:val="0"/>
                <w:sz w:val="20"/>
                <w:szCs w:val="20"/>
              </w:rPr>
            </w:pPr>
            <w:r>
              <w:rPr>
                <w:rFonts w:ascii="Times New Roman Regular" w:hAnsi="Times New Roman Regular" w:cs="Times New Roman Regular"/>
                <w:b w:val="0"/>
                <w:bCs w:val="0"/>
                <w:sz w:val="20"/>
                <w:szCs w:val="20"/>
              </w:rPr>
              <w:t>地方政府</w:t>
            </w:r>
          </w:p>
          <w:p w14:paraId="07D2AA57">
            <w:pPr>
              <w:spacing w:line="300" w:lineRule="auto"/>
              <w:ind w:right="269" w:rightChars="84"/>
              <w:rPr>
                <w:rFonts w:ascii="Times New Roman Regular" w:hAnsi="Times New Roman Regular" w:cs="Times New Roman Regular"/>
                <w:b w:val="0"/>
                <w:bCs w:val="0"/>
                <w:sz w:val="20"/>
                <w:szCs w:val="20"/>
              </w:rPr>
            </w:pPr>
            <w:r>
              <w:rPr>
                <w:rFonts w:hint="eastAsia" w:ascii="Times New Roman Regular" w:hAnsi="Times New Roman Regular" w:cs="Times New Roman Regular"/>
                <w:b w:val="0"/>
                <w:bCs w:val="0"/>
                <w:sz w:val="20"/>
                <w:szCs w:val="20"/>
              </w:rPr>
              <w:t>相关</w:t>
            </w:r>
            <w:r>
              <w:rPr>
                <w:rFonts w:ascii="Times New Roman Regular" w:hAnsi="Times New Roman Regular" w:cs="Times New Roman Regular"/>
                <w:b w:val="0"/>
                <w:bCs w:val="0"/>
                <w:sz w:val="20"/>
                <w:szCs w:val="20"/>
              </w:rPr>
              <w:t>部门</w:t>
            </w:r>
          </w:p>
        </w:tc>
        <w:tc>
          <w:tcPr>
            <w:tcW w:w="1162" w:type="dxa"/>
            <w:vAlign w:val="center"/>
          </w:tcPr>
          <w:p w14:paraId="66BC21B2">
            <w:pPr>
              <w:spacing w:line="300" w:lineRule="auto"/>
              <w:ind w:right="141" w:rightChars="44"/>
              <w:rPr>
                <w:rFonts w:ascii="Times New Roman Regular" w:hAnsi="Times New Roman Regular" w:cs="Times New Roman Regular"/>
                <w:b w:val="0"/>
                <w:bCs w:val="0"/>
                <w:sz w:val="20"/>
                <w:szCs w:val="20"/>
              </w:rPr>
            </w:pPr>
          </w:p>
        </w:tc>
      </w:tr>
      <w:tr w14:paraId="06EA064B">
        <w:tblPrEx>
          <w:tblBorders>
            <w:top w:val="double" w:color="000000" w:sz="6" w:space="0"/>
            <w:left w:val="double" w:color="000000" w:sz="6" w:space="0"/>
            <w:bottom w:val="double" w:color="000000" w:sz="6" w:space="0"/>
            <w:right w:val="double" w:color="000000" w:sz="6" w:space="0"/>
            <w:insideH w:val="double" w:color="000000" w:sz="6" w:space="0"/>
            <w:insideV w:val="single" w:color="000000" w:sz="6" w:space="0"/>
          </w:tblBorders>
          <w:tblCellMar>
            <w:top w:w="0" w:type="dxa"/>
            <w:left w:w="108" w:type="dxa"/>
            <w:bottom w:w="0" w:type="dxa"/>
            <w:right w:w="108" w:type="dxa"/>
          </w:tblCellMar>
        </w:tblPrEx>
        <w:trPr>
          <w:trHeight w:val="923" w:hRule="atLeast"/>
          <w:jc w:val="center"/>
        </w:trPr>
        <w:tc>
          <w:tcPr>
            <w:tcW w:w="1108" w:type="dxa"/>
            <w:vMerge w:val="continue"/>
            <w:vAlign w:val="center"/>
          </w:tcPr>
          <w:p w14:paraId="1E3CF945">
            <w:pPr>
              <w:rPr>
                <w:rFonts w:ascii="Times New Roman Regular" w:hAnsi="Times New Roman Regular" w:cs="Times New Roman Regular"/>
                <w:b w:val="0"/>
                <w:bCs w:val="0"/>
                <w:sz w:val="20"/>
                <w:szCs w:val="20"/>
              </w:rPr>
            </w:pPr>
          </w:p>
        </w:tc>
        <w:tc>
          <w:tcPr>
            <w:tcW w:w="4220" w:type="dxa"/>
            <w:vAlign w:val="center"/>
          </w:tcPr>
          <w:p w14:paraId="21DABA7C">
            <w:pPr>
              <w:spacing w:line="300" w:lineRule="auto"/>
              <w:jc w:val="both"/>
              <w:rPr>
                <w:rFonts w:ascii="Times New Roman Regular" w:hAnsi="Times New Roman Regular" w:cs="Times New Roman Regular"/>
                <w:b w:val="0"/>
                <w:bCs w:val="0"/>
                <w:sz w:val="20"/>
                <w:szCs w:val="20"/>
              </w:rPr>
            </w:pPr>
            <w:r>
              <w:rPr>
                <w:rFonts w:hint="eastAsia" w:ascii="Times New Roman Regular" w:hAnsi="Times New Roman Regular" w:cs="Times New Roman Regular"/>
                <w:b w:val="0"/>
                <w:bCs w:val="0"/>
                <w:sz w:val="20"/>
                <w:szCs w:val="20"/>
              </w:rPr>
              <w:t>5、</w:t>
            </w:r>
            <w:r>
              <w:rPr>
                <w:rFonts w:ascii="Times New Roman Regular" w:hAnsi="Times New Roman Regular" w:cs="Times New Roman Regular"/>
                <w:b w:val="0"/>
                <w:bCs w:val="0"/>
                <w:sz w:val="20"/>
                <w:szCs w:val="20"/>
              </w:rPr>
              <w:t>如比赛因故推迟或取消，竞赛负责人立即联系</w:t>
            </w:r>
            <w:r>
              <w:rPr>
                <w:rFonts w:hint="eastAsia" w:ascii="Times New Roman Regular" w:hAnsi="Times New Roman Regular" w:cs="Times New Roman Regular"/>
                <w:b w:val="0"/>
                <w:bCs w:val="0"/>
                <w:sz w:val="20"/>
                <w:szCs w:val="20"/>
              </w:rPr>
              <w:t>组委会和</w:t>
            </w:r>
            <w:r>
              <w:rPr>
                <w:rFonts w:ascii="Times New Roman Regular" w:hAnsi="Times New Roman Regular" w:cs="Times New Roman Regular"/>
                <w:b w:val="0"/>
                <w:bCs w:val="0"/>
                <w:sz w:val="20"/>
                <w:szCs w:val="20"/>
              </w:rPr>
              <w:t>接待</w:t>
            </w:r>
            <w:r>
              <w:rPr>
                <w:rFonts w:hint="eastAsia" w:ascii="Times New Roman Regular" w:hAnsi="Times New Roman Regular" w:cs="Times New Roman Regular"/>
                <w:b w:val="0"/>
                <w:bCs w:val="0"/>
                <w:sz w:val="20"/>
                <w:szCs w:val="20"/>
              </w:rPr>
              <w:t>单位</w:t>
            </w:r>
            <w:r>
              <w:rPr>
                <w:rFonts w:ascii="Times New Roman Regular" w:hAnsi="Times New Roman Regular" w:cs="Times New Roman Regular"/>
                <w:b w:val="0"/>
                <w:bCs w:val="0"/>
                <w:sz w:val="20"/>
                <w:szCs w:val="20"/>
              </w:rPr>
              <w:t>，通知各代表队。</w:t>
            </w:r>
          </w:p>
        </w:tc>
        <w:tc>
          <w:tcPr>
            <w:tcW w:w="1074" w:type="dxa"/>
            <w:vAlign w:val="center"/>
          </w:tcPr>
          <w:p w14:paraId="2BB893E3">
            <w:pPr>
              <w:spacing w:line="300" w:lineRule="auto"/>
              <w:ind w:right="125" w:rightChars="39"/>
              <w:rPr>
                <w:rFonts w:ascii="Times New Roman Regular" w:hAnsi="Times New Roman Regular" w:cs="Times New Roman Regular"/>
                <w:b w:val="0"/>
                <w:bCs w:val="0"/>
                <w:sz w:val="20"/>
                <w:szCs w:val="20"/>
              </w:rPr>
            </w:pPr>
            <w:r>
              <w:rPr>
                <w:rFonts w:ascii="Times New Roman Regular" w:hAnsi="Times New Roman Regular" w:cs="Times New Roman Regular"/>
                <w:b w:val="0"/>
                <w:bCs w:val="0"/>
                <w:sz w:val="20"/>
                <w:szCs w:val="20"/>
              </w:rPr>
              <w:t>赛事</w:t>
            </w:r>
          </w:p>
          <w:p w14:paraId="55F0E6AD">
            <w:pPr>
              <w:spacing w:line="300" w:lineRule="auto"/>
              <w:ind w:right="125" w:rightChars="39"/>
              <w:rPr>
                <w:rFonts w:ascii="Times New Roman Regular" w:hAnsi="Times New Roman Regular" w:cs="Times New Roman Regular"/>
                <w:b w:val="0"/>
                <w:bCs w:val="0"/>
                <w:sz w:val="20"/>
                <w:szCs w:val="20"/>
              </w:rPr>
            </w:pPr>
            <w:r>
              <w:rPr>
                <w:rFonts w:ascii="Times New Roman Regular" w:hAnsi="Times New Roman Regular" w:cs="Times New Roman Regular"/>
                <w:b w:val="0"/>
                <w:bCs w:val="0"/>
                <w:sz w:val="20"/>
                <w:szCs w:val="20"/>
              </w:rPr>
              <w:t>组委会</w:t>
            </w:r>
          </w:p>
        </w:tc>
        <w:tc>
          <w:tcPr>
            <w:tcW w:w="1535" w:type="dxa"/>
            <w:vAlign w:val="center"/>
          </w:tcPr>
          <w:p w14:paraId="64654E37">
            <w:pPr>
              <w:spacing w:line="300" w:lineRule="auto"/>
              <w:ind w:right="269" w:rightChars="84"/>
              <w:rPr>
                <w:rFonts w:ascii="Times New Roman Regular" w:hAnsi="Times New Roman Regular" w:cs="Times New Roman Regular"/>
                <w:b w:val="0"/>
                <w:bCs w:val="0"/>
                <w:sz w:val="20"/>
                <w:szCs w:val="20"/>
              </w:rPr>
            </w:pPr>
            <w:r>
              <w:rPr>
                <w:rFonts w:ascii="Times New Roman Regular" w:hAnsi="Times New Roman Regular" w:cs="Times New Roman Regular"/>
                <w:b w:val="0"/>
                <w:bCs w:val="0"/>
                <w:sz w:val="20"/>
                <w:szCs w:val="20"/>
              </w:rPr>
              <w:t>各代表队</w:t>
            </w:r>
          </w:p>
        </w:tc>
        <w:tc>
          <w:tcPr>
            <w:tcW w:w="1162" w:type="dxa"/>
            <w:vAlign w:val="center"/>
          </w:tcPr>
          <w:p w14:paraId="7EA116DD">
            <w:pPr>
              <w:spacing w:line="300" w:lineRule="auto"/>
              <w:ind w:right="141" w:rightChars="44"/>
              <w:rPr>
                <w:rFonts w:ascii="Times New Roman Regular" w:hAnsi="Times New Roman Regular" w:cs="Times New Roman Regular"/>
                <w:b w:val="0"/>
                <w:bCs w:val="0"/>
                <w:sz w:val="20"/>
                <w:szCs w:val="20"/>
              </w:rPr>
            </w:pPr>
          </w:p>
        </w:tc>
      </w:tr>
      <w:tr w14:paraId="77E436A5">
        <w:tblPrEx>
          <w:tblBorders>
            <w:top w:val="double" w:color="000000" w:sz="6" w:space="0"/>
            <w:left w:val="double" w:color="000000" w:sz="6" w:space="0"/>
            <w:bottom w:val="double" w:color="000000" w:sz="6" w:space="0"/>
            <w:right w:val="double" w:color="000000" w:sz="6" w:space="0"/>
            <w:insideH w:val="double" w:color="000000" w:sz="6" w:space="0"/>
            <w:insideV w:val="single" w:color="000000" w:sz="6" w:space="0"/>
          </w:tblBorders>
          <w:tblCellMar>
            <w:top w:w="0" w:type="dxa"/>
            <w:left w:w="108" w:type="dxa"/>
            <w:bottom w:w="0" w:type="dxa"/>
            <w:right w:w="108" w:type="dxa"/>
          </w:tblCellMar>
        </w:tblPrEx>
        <w:trPr>
          <w:trHeight w:val="936" w:hRule="atLeast"/>
          <w:jc w:val="center"/>
        </w:trPr>
        <w:tc>
          <w:tcPr>
            <w:tcW w:w="1108" w:type="dxa"/>
            <w:vMerge w:val="continue"/>
            <w:vAlign w:val="center"/>
          </w:tcPr>
          <w:p w14:paraId="5092678B">
            <w:pPr>
              <w:rPr>
                <w:rFonts w:ascii="Times New Roman Regular" w:hAnsi="Times New Roman Regular" w:cs="Times New Roman Regular"/>
                <w:b w:val="0"/>
                <w:bCs w:val="0"/>
                <w:sz w:val="20"/>
                <w:szCs w:val="20"/>
              </w:rPr>
            </w:pPr>
          </w:p>
        </w:tc>
        <w:tc>
          <w:tcPr>
            <w:tcW w:w="4220" w:type="dxa"/>
            <w:vAlign w:val="center"/>
          </w:tcPr>
          <w:p w14:paraId="094E6EC8">
            <w:pPr>
              <w:spacing w:line="300" w:lineRule="auto"/>
              <w:jc w:val="both"/>
              <w:rPr>
                <w:rFonts w:ascii="Times New Roman Regular" w:hAnsi="Times New Roman Regular" w:cs="Times New Roman Regular"/>
                <w:b w:val="0"/>
                <w:bCs w:val="0"/>
                <w:sz w:val="20"/>
                <w:szCs w:val="20"/>
              </w:rPr>
            </w:pPr>
            <w:r>
              <w:rPr>
                <w:rFonts w:hint="eastAsia" w:ascii="Times New Roman Regular" w:hAnsi="Times New Roman Regular" w:cs="Times New Roman Regular"/>
                <w:b w:val="0"/>
                <w:bCs w:val="0"/>
                <w:sz w:val="20"/>
                <w:szCs w:val="20"/>
              </w:rPr>
              <w:t>6、</w:t>
            </w:r>
            <w:r>
              <w:rPr>
                <w:rFonts w:ascii="Times New Roman Regular" w:hAnsi="Times New Roman Regular" w:cs="Times New Roman Regular"/>
                <w:b w:val="0"/>
                <w:bCs w:val="0"/>
                <w:sz w:val="20"/>
                <w:szCs w:val="20"/>
              </w:rPr>
              <w:t>疏散、撤离并妥善安置和救助现场人员。</w:t>
            </w:r>
          </w:p>
        </w:tc>
        <w:tc>
          <w:tcPr>
            <w:tcW w:w="1074" w:type="dxa"/>
            <w:vAlign w:val="center"/>
          </w:tcPr>
          <w:p w14:paraId="6215F5CF">
            <w:pPr>
              <w:spacing w:line="300" w:lineRule="auto"/>
              <w:ind w:right="125" w:rightChars="39"/>
              <w:rPr>
                <w:rFonts w:ascii="Times New Roman Regular" w:hAnsi="Times New Roman Regular" w:cs="Times New Roman Regular"/>
                <w:b w:val="0"/>
                <w:bCs w:val="0"/>
                <w:sz w:val="20"/>
                <w:szCs w:val="20"/>
              </w:rPr>
            </w:pPr>
            <w:r>
              <w:rPr>
                <w:rFonts w:ascii="Times New Roman Regular" w:hAnsi="Times New Roman Regular" w:cs="Times New Roman Regular"/>
                <w:b w:val="0"/>
                <w:bCs w:val="0"/>
                <w:sz w:val="20"/>
                <w:szCs w:val="20"/>
              </w:rPr>
              <w:t>赛事</w:t>
            </w:r>
          </w:p>
          <w:p w14:paraId="79EA22DD">
            <w:pPr>
              <w:spacing w:line="300" w:lineRule="auto"/>
              <w:ind w:right="125" w:rightChars="39"/>
              <w:rPr>
                <w:rFonts w:ascii="Times New Roman Regular" w:hAnsi="Times New Roman Regular" w:cs="Times New Roman Regular"/>
                <w:b w:val="0"/>
                <w:bCs w:val="0"/>
                <w:sz w:val="20"/>
                <w:szCs w:val="20"/>
              </w:rPr>
            </w:pPr>
            <w:r>
              <w:rPr>
                <w:rFonts w:ascii="Times New Roman Regular" w:hAnsi="Times New Roman Regular" w:cs="Times New Roman Regular"/>
                <w:b w:val="0"/>
                <w:bCs w:val="0"/>
                <w:sz w:val="20"/>
                <w:szCs w:val="20"/>
              </w:rPr>
              <w:t>组委会</w:t>
            </w:r>
          </w:p>
        </w:tc>
        <w:tc>
          <w:tcPr>
            <w:tcW w:w="1535" w:type="dxa"/>
            <w:vAlign w:val="center"/>
          </w:tcPr>
          <w:p w14:paraId="76C5385B">
            <w:pPr>
              <w:spacing w:line="300" w:lineRule="auto"/>
              <w:ind w:right="269" w:rightChars="84"/>
              <w:rPr>
                <w:rFonts w:ascii="Times New Roman Regular" w:hAnsi="Times New Roman Regular" w:cs="Times New Roman Regular"/>
                <w:b w:val="0"/>
                <w:bCs w:val="0"/>
                <w:sz w:val="20"/>
                <w:szCs w:val="20"/>
              </w:rPr>
            </w:pPr>
            <w:r>
              <w:rPr>
                <w:rFonts w:ascii="Times New Roman Regular" w:hAnsi="Times New Roman Regular" w:cs="Times New Roman Regular"/>
                <w:b w:val="0"/>
                <w:bCs w:val="0"/>
                <w:sz w:val="20"/>
                <w:szCs w:val="20"/>
              </w:rPr>
              <w:t>地方政府</w:t>
            </w:r>
          </w:p>
        </w:tc>
        <w:tc>
          <w:tcPr>
            <w:tcW w:w="1162" w:type="dxa"/>
            <w:vAlign w:val="center"/>
          </w:tcPr>
          <w:p w14:paraId="65EB877A">
            <w:pPr>
              <w:spacing w:line="300" w:lineRule="auto"/>
              <w:ind w:right="141" w:rightChars="44"/>
              <w:rPr>
                <w:rFonts w:ascii="Times New Roman Regular" w:hAnsi="Times New Roman Regular" w:cs="Times New Roman Regular"/>
                <w:b w:val="0"/>
                <w:bCs w:val="0"/>
                <w:sz w:val="20"/>
                <w:szCs w:val="20"/>
              </w:rPr>
            </w:pPr>
          </w:p>
        </w:tc>
      </w:tr>
      <w:tr w14:paraId="19695D28">
        <w:tblPrEx>
          <w:tblBorders>
            <w:top w:val="double" w:color="000000" w:sz="6" w:space="0"/>
            <w:left w:val="double" w:color="000000" w:sz="6" w:space="0"/>
            <w:bottom w:val="double" w:color="000000" w:sz="6" w:space="0"/>
            <w:right w:val="double" w:color="000000" w:sz="6" w:space="0"/>
            <w:insideH w:val="double" w:color="000000" w:sz="6" w:space="0"/>
            <w:insideV w:val="single" w:color="000000" w:sz="6" w:space="0"/>
          </w:tblBorders>
          <w:tblCellMar>
            <w:top w:w="0" w:type="dxa"/>
            <w:left w:w="108" w:type="dxa"/>
            <w:bottom w:w="0" w:type="dxa"/>
            <w:right w:w="108" w:type="dxa"/>
          </w:tblCellMar>
        </w:tblPrEx>
        <w:trPr>
          <w:trHeight w:val="1232" w:hRule="atLeast"/>
          <w:jc w:val="center"/>
        </w:trPr>
        <w:tc>
          <w:tcPr>
            <w:tcW w:w="1108" w:type="dxa"/>
            <w:vMerge w:val="continue"/>
            <w:vAlign w:val="center"/>
          </w:tcPr>
          <w:p w14:paraId="117A00D6">
            <w:pPr>
              <w:rPr>
                <w:rFonts w:ascii="Times New Roman Regular" w:hAnsi="Times New Roman Regular" w:cs="Times New Roman Regular"/>
                <w:b w:val="0"/>
                <w:bCs w:val="0"/>
                <w:sz w:val="20"/>
                <w:szCs w:val="20"/>
              </w:rPr>
            </w:pPr>
          </w:p>
        </w:tc>
        <w:tc>
          <w:tcPr>
            <w:tcW w:w="4220" w:type="dxa"/>
            <w:vAlign w:val="center"/>
          </w:tcPr>
          <w:p w14:paraId="4CE7064B">
            <w:pPr>
              <w:spacing w:line="300" w:lineRule="auto"/>
              <w:jc w:val="both"/>
              <w:rPr>
                <w:rFonts w:ascii="Times New Roman Regular" w:hAnsi="Times New Roman Regular" w:cs="Times New Roman Regular"/>
                <w:b w:val="0"/>
                <w:bCs w:val="0"/>
                <w:sz w:val="20"/>
                <w:szCs w:val="20"/>
              </w:rPr>
            </w:pPr>
            <w:r>
              <w:rPr>
                <w:rFonts w:hint="eastAsia" w:ascii="Times New Roman Regular" w:hAnsi="Times New Roman Regular" w:cs="Times New Roman Regular"/>
                <w:b w:val="0"/>
                <w:bCs w:val="0"/>
                <w:sz w:val="20"/>
                <w:szCs w:val="20"/>
              </w:rPr>
              <w:t>7、</w:t>
            </w:r>
            <w:r>
              <w:rPr>
                <w:rFonts w:ascii="Times New Roman Regular" w:hAnsi="Times New Roman Regular" w:cs="Times New Roman Regular"/>
                <w:b w:val="0"/>
                <w:bCs w:val="0"/>
                <w:sz w:val="20"/>
                <w:szCs w:val="20"/>
              </w:rPr>
              <w:t>及时通过官方途径发布赛事活动动态信息，调整赛程赛历，做好舆情引导。</w:t>
            </w:r>
          </w:p>
        </w:tc>
        <w:tc>
          <w:tcPr>
            <w:tcW w:w="1074" w:type="dxa"/>
            <w:vAlign w:val="center"/>
          </w:tcPr>
          <w:p w14:paraId="69F521BD">
            <w:pPr>
              <w:spacing w:line="300" w:lineRule="auto"/>
              <w:ind w:right="125" w:rightChars="39"/>
              <w:rPr>
                <w:rFonts w:ascii="Times New Roman Regular" w:hAnsi="Times New Roman Regular" w:cs="Times New Roman Regular"/>
                <w:b w:val="0"/>
                <w:bCs w:val="0"/>
                <w:sz w:val="20"/>
                <w:szCs w:val="20"/>
              </w:rPr>
            </w:pPr>
            <w:r>
              <w:rPr>
                <w:rFonts w:ascii="Times New Roman Regular" w:hAnsi="Times New Roman Regular" w:cs="Times New Roman Regular"/>
                <w:b w:val="0"/>
                <w:bCs w:val="0"/>
                <w:sz w:val="20"/>
                <w:szCs w:val="20"/>
              </w:rPr>
              <w:t>赛事</w:t>
            </w:r>
          </w:p>
          <w:p w14:paraId="0885B0D3">
            <w:pPr>
              <w:spacing w:line="300" w:lineRule="auto"/>
              <w:ind w:right="125" w:rightChars="39"/>
              <w:rPr>
                <w:rFonts w:ascii="Times New Roman Regular" w:hAnsi="Times New Roman Regular" w:cs="Times New Roman Regular"/>
                <w:b w:val="0"/>
                <w:bCs w:val="0"/>
                <w:sz w:val="20"/>
                <w:szCs w:val="20"/>
              </w:rPr>
            </w:pPr>
            <w:r>
              <w:rPr>
                <w:rFonts w:hint="eastAsia" w:ascii="Times New Roman Regular" w:hAnsi="Times New Roman Regular" w:cs="Times New Roman Regular"/>
                <w:b w:val="0"/>
                <w:bCs w:val="0"/>
                <w:sz w:val="20"/>
                <w:szCs w:val="20"/>
              </w:rPr>
              <w:t xml:space="preserve">  </w:t>
            </w:r>
            <w:r>
              <w:rPr>
                <w:rFonts w:ascii="Times New Roman Regular" w:hAnsi="Times New Roman Regular" w:cs="Times New Roman Regular"/>
                <w:b w:val="0"/>
                <w:bCs w:val="0"/>
                <w:sz w:val="20"/>
                <w:szCs w:val="20"/>
              </w:rPr>
              <w:t>组委会</w:t>
            </w:r>
          </w:p>
        </w:tc>
        <w:tc>
          <w:tcPr>
            <w:tcW w:w="1535" w:type="dxa"/>
            <w:vAlign w:val="center"/>
          </w:tcPr>
          <w:p w14:paraId="3D25C96A">
            <w:pPr>
              <w:spacing w:line="300" w:lineRule="auto"/>
              <w:ind w:right="269" w:rightChars="84"/>
              <w:rPr>
                <w:rFonts w:ascii="Times New Roman Regular" w:hAnsi="Times New Roman Regular" w:cs="Times New Roman Regular"/>
                <w:b w:val="0"/>
                <w:bCs w:val="0"/>
                <w:sz w:val="20"/>
                <w:szCs w:val="20"/>
              </w:rPr>
            </w:pPr>
            <w:r>
              <w:rPr>
                <w:rFonts w:hint="eastAsia" w:ascii="Times New Roman Regular" w:hAnsi="Times New Roman Regular" w:cs="Times New Roman Regular"/>
                <w:b w:val="0"/>
                <w:bCs w:val="0"/>
                <w:sz w:val="20"/>
                <w:szCs w:val="20"/>
              </w:rPr>
              <w:t>宣传媒体等</w:t>
            </w:r>
          </w:p>
        </w:tc>
        <w:tc>
          <w:tcPr>
            <w:tcW w:w="1162" w:type="dxa"/>
            <w:vAlign w:val="center"/>
          </w:tcPr>
          <w:p w14:paraId="671FF5DE">
            <w:pPr>
              <w:spacing w:line="300" w:lineRule="auto"/>
              <w:ind w:right="141" w:rightChars="44"/>
              <w:rPr>
                <w:rFonts w:ascii="Times New Roman Regular" w:hAnsi="Times New Roman Regular" w:cs="Times New Roman Regular"/>
                <w:b w:val="0"/>
                <w:bCs w:val="0"/>
                <w:sz w:val="20"/>
                <w:szCs w:val="20"/>
              </w:rPr>
            </w:pPr>
            <w:r>
              <w:rPr>
                <w:rFonts w:hint="eastAsia" w:ascii="Times New Roman Regular" w:hAnsi="Times New Roman Regular" w:cs="Times New Roman Regular"/>
                <w:b w:val="0"/>
                <w:bCs w:val="0"/>
                <w:sz w:val="20"/>
                <w:szCs w:val="20"/>
              </w:rPr>
              <w:t>赛事通告</w:t>
            </w:r>
          </w:p>
        </w:tc>
      </w:tr>
      <w:tr w14:paraId="32911BE4">
        <w:tblPrEx>
          <w:tblBorders>
            <w:top w:val="double" w:color="000000" w:sz="6" w:space="0"/>
            <w:left w:val="double" w:color="000000" w:sz="6" w:space="0"/>
            <w:bottom w:val="double" w:color="000000" w:sz="6" w:space="0"/>
            <w:right w:val="double" w:color="000000" w:sz="6" w:space="0"/>
            <w:insideH w:val="double" w:color="000000" w:sz="6" w:space="0"/>
            <w:insideV w:val="single" w:color="000000" w:sz="6" w:space="0"/>
          </w:tblBorders>
          <w:tblCellMar>
            <w:top w:w="0" w:type="dxa"/>
            <w:left w:w="108" w:type="dxa"/>
            <w:bottom w:w="0" w:type="dxa"/>
            <w:right w:w="108" w:type="dxa"/>
          </w:tblCellMar>
        </w:tblPrEx>
        <w:trPr>
          <w:trHeight w:val="922" w:hRule="atLeast"/>
          <w:jc w:val="center"/>
        </w:trPr>
        <w:tc>
          <w:tcPr>
            <w:tcW w:w="1108" w:type="dxa"/>
            <w:vMerge w:val="continue"/>
            <w:vAlign w:val="center"/>
          </w:tcPr>
          <w:p w14:paraId="31C0EA41">
            <w:pPr>
              <w:rPr>
                <w:rFonts w:ascii="Times New Roman Regular" w:hAnsi="Times New Roman Regular" w:cs="Times New Roman Regular"/>
                <w:b w:val="0"/>
                <w:bCs w:val="0"/>
                <w:sz w:val="20"/>
                <w:szCs w:val="20"/>
              </w:rPr>
            </w:pPr>
          </w:p>
        </w:tc>
        <w:tc>
          <w:tcPr>
            <w:tcW w:w="4220" w:type="dxa"/>
            <w:vAlign w:val="center"/>
          </w:tcPr>
          <w:p w14:paraId="296BF54F">
            <w:pPr>
              <w:jc w:val="both"/>
              <w:rPr>
                <w:rFonts w:ascii="Times New Roman Regular" w:hAnsi="Times New Roman Regular" w:cs="Times New Roman Regular"/>
                <w:b w:val="0"/>
                <w:bCs w:val="0"/>
                <w:sz w:val="20"/>
                <w:szCs w:val="20"/>
              </w:rPr>
            </w:pPr>
            <w:r>
              <w:rPr>
                <w:rFonts w:hint="eastAsia" w:ascii="Times New Roman Regular" w:hAnsi="Times New Roman Regular" w:cs="Times New Roman Regular"/>
                <w:b w:val="0"/>
                <w:bCs w:val="0"/>
                <w:sz w:val="20"/>
                <w:szCs w:val="20"/>
              </w:rPr>
              <w:t>8、</w:t>
            </w:r>
            <w:r>
              <w:rPr>
                <w:rFonts w:ascii="Times New Roman Regular" w:hAnsi="Times New Roman Regular" w:cs="Times New Roman Regular"/>
                <w:b w:val="0"/>
                <w:bCs w:val="0"/>
                <w:sz w:val="20"/>
                <w:szCs w:val="20"/>
              </w:rPr>
              <w:t>竞赛负责人</w:t>
            </w:r>
            <w:r>
              <w:rPr>
                <w:rFonts w:hint="eastAsia" w:ascii="Times New Roman Regular" w:hAnsi="Times New Roman Regular" w:cs="Times New Roman Regular"/>
                <w:b w:val="0"/>
                <w:bCs w:val="0"/>
                <w:sz w:val="20"/>
                <w:szCs w:val="20"/>
              </w:rPr>
              <w:t>、比赛监督</w:t>
            </w:r>
            <w:r>
              <w:rPr>
                <w:rFonts w:ascii="Times New Roman Regular" w:hAnsi="Times New Roman Regular" w:cs="Times New Roman Regular"/>
                <w:b w:val="0"/>
                <w:bCs w:val="0"/>
                <w:sz w:val="20"/>
                <w:szCs w:val="20"/>
              </w:rPr>
              <w:t>将事件及处理结果</w:t>
            </w:r>
            <w:r>
              <w:rPr>
                <w:rFonts w:hint="eastAsia" w:ascii="Times New Roman Regular" w:hAnsi="Times New Roman Regular" w:cs="Times New Roman Regular"/>
                <w:b w:val="0"/>
                <w:bCs w:val="0"/>
                <w:sz w:val="20"/>
                <w:szCs w:val="20"/>
              </w:rPr>
              <w:t>，</w:t>
            </w:r>
            <w:r>
              <w:rPr>
                <w:rFonts w:ascii="Times New Roman Regular" w:hAnsi="Times New Roman Regular" w:cs="Times New Roman Regular"/>
                <w:b w:val="0"/>
                <w:bCs w:val="0"/>
                <w:sz w:val="20"/>
                <w:szCs w:val="20"/>
              </w:rPr>
              <w:t>报告</w:t>
            </w:r>
            <w:r>
              <w:rPr>
                <w:rFonts w:hint="eastAsia" w:ascii="Times New Roman Regular" w:hAnsi="Times New Roman Regular" w:cs="Times New Roman Regular"/>
                <w:b w:val="0"/>
                <w:bCs w:val="0"/>
                <w:sz w:val="20"/>
                <w:szCs w:val="20"/>
              </w:rPr>
              <w:t>组委会和当地政府</w:t>
            </w:r>
            <w:r>
              <w:rPr>
                <w:rFonts w:ascii="Times New Roman Regular" w:hAnsi="Times New Roman Regular" w:cs="Times New Roman Regular"/>
                <w:b w:val="0"/>
                <w:bCs w:val="0"/>
                <w:sz w:val="20"/>
                <w:szCs w:val="20"/>
              </w:rPr>
              <w:t>。</w:t>
            </w:r>
          </w:p>
        </w:tc>
        <w:tc>
          <w:tcPr>
            <w:tcW w:w="1074" w:type="dxa"/>
            <w:vAlign w:val="center"/>
          </w:tcPr>
          <w:p w14:paraId="4A5DCF55">
            <w:pPr>
              <w:spacing w:line="300" w:lineRule="auto"/>
              <w:ind w:right="269" w:rightChars="84"/>
              <w:rPr>
                <w:rFonts w:ascii="Times New Roman Regular" w:hAnsi="Times New Roman Regular" w:cs="Times New Roman Regular"/>
                <w:b w:val="0"/>
                <w:bCs w:val="0"/>
                <w:sz w:val="20"/>
                <w:szCs w:val="20"/>
              </w:rPr>
            </w:pPr>
            <w:r>
              <w:rPr>
                <w:rFonts w:ascii="Times New Roman Regular" w:hAnsi="Times New Roman Regular" w:cs="Times New Roman Regular"/>
                <w:b w:val="0"/>
                <w:bCs w:val="0"/>
                <w:sz w:val="20"/>
                <w:szCs w:val="20"/>
              </w:rPr>
              <w:t>竞赛</w:t>
            </w:r>
          </w:p>
        </w:tc>
        <w:tc>
          <w:tcPr>
            <w:tcW w:w="1535" w:type="dxa"/>
            <w:vAlign w:val="center"/>
          </w:tcPr>
          <w:p w14:paraId="5EACD42C">
            <w:pPr>
              <w:spacing w:line="300" w:lineRule="auto"/>
              <w:ind w:right="269" w:rightChars="84"/>
              <w:rPr>
                <w:rFonts w:ascii="Times New Roman Regular" w:hAnsi="Times New Roman Regular" w:cs="Times New Roman Regular"/>
                <w:b w:val="0"/>
                <w:bCs w:val="0"/>
                <w:sz w:val="20"/>
                <w:szCs w:val="20"/>
              </w:rPr>
            </w:pPr>
            <w:r>
              <w:rPr>
                <w:rFonts w:hint="eastAsia" w:ascii="Times New Roman Regular" w:hAnsi="Times New Roman Regular" w:cs="Times New Roman Regular"/>
                <w:b w:val="0"/>
                <w:bCs w:val="0"/>
                <w:sz w:val="20"/>
                <w:szCs w:val="20"/>
              </w:rPr>
              <w:t>组委会</w:t>
            </w:r>
          </w:p>
          <w:p w14:paraId="349FE0A6">
            <w:pPr>
              <w:spacing w:line="300" w:lineRule="auto"/>
              <w:ind w:right="269" w:rightChars="84"/>
              <w:rPr>
                <w:rFonts w:ascii="Times New Roman Regular" w:hAnsi="Times New Roman Regular" w:cs="Times New Roman Regular"/>
                <w:b w:val="0"/>
                <w:bCs w:val="0"/>
                <w:sz w:val="20"/>
                <w:szCs w:val="20"/>
              </w:rPr>
            </w:pPr>
            <w:r>
              <w:rPr>
                <w:rFonts w:hint="eastAsia" w:ascii="Times New Roman Regular" w:hAnsi="Times New Roman Regular" w:cs="Times New Roman Regular"/>
                <w:b w:val="0"/>
                <w:bCs w:val="0"/>
                <w:sz w:val="20"/>
                <w:szCs w:val="20"/>
              </w:rPr>
              <w:t>地方政府</w:t>
            </w:r>
          </w:p>
        </w:tc>
        <w:tc>
          <w:tcPr>
            <w:tcW w:w="1162" w:type="dxa"/>
            <w:vAlign w:val="center"/>
          </w:tcPr>
          <w:p w14:paraId="66B9A72A">
            <w:pPr>
              <w:spacing w:line="300" w:lineRule="auto"/>
              <w:ind w:right="141" w:rightChars="44"/>
              <w:rPr>
                <w:rFonts w:ascii="Times New Roman Regular" w:hAnsi="Times New Roman Regular" w:cs="Times New Roman Regular"/>
                <w:b w:val="0"/>
                <w:bCs w:val="0"/>
                <w:sz w:val="20"/>
                <w:szCs w:val="20"/>
              </w:rPr>
            </w:pPr>
            <w:r>
              <w:rPr>
                <w:rFonts w:hint="eastAsia" w:ascii="Times New Roman Regular" w:hAnsi="Times New Roman Regular" w:cs="Times New Roman Regular"/>
                <w:b w:val="0"/>
                <w:bCs w:val="0"/>
                <w:sz w:val="20"/>
                <w:szCs w:val="20"/>
              </w:rPr>
              <w:t>熔断报告</w:t>
            </w:r>
          </w:p>
        </w:tc>
      </w:tr>
    </w:tbl>
    <w:p w14:paraId="2F634BAD"/>
    <w:p w14:paraId="1498F46C">
      <w:pPr>
        <w:pStyle w:val="3"/>
        <w:spacing w:before="0" w:line="520" w:lineRule="exact"/>
        <w:ind w:firstLine="640" w:firstLineChars="200"/>
        <w:jc w:val="both"/>
        <w:rPr>
          <w:b w:val="0"/>
          <w:sz w:val="32"/>
          <w:szCs w:val="32"/>
          <w:lang w:eastAsia="zh-CN"/>
        </w:rPr>
      </w:pPr>
    </w:p>
    <w:p w14:paraId="6D52B640">
      <w:pPr>
        <w:pStyle w:val="3"/>
        <w:spacing w:before="0" w:line="520" w:lineRule="exact"/>
        <w:ind w:firstLine="640" w:firstLineChars="200"/>
        <w:jc w:val="both"/>
        <w:rPr>
          <w:b w:val="0"/>
          <w:sz w:val="32"/>
          <w:szCs w:val="32"/>
          <w:lang w:eastAsia="zh-CN"/>
        </w:rPr>
      </w:pPr>
    </w:p>
    <w:p w14:paraId="3E8A7B81">
      <w:pPr>
        <w:pStyle w:val="3"/>
        <w:spacing w:before="0" w:line="520" w:lineRule="exact"/>
        <w:ind w:firstLine="640" w:firstLineChars="200"/>
        <w:jc w:val="both"/>
        <w:rPr>
          <w:b w:val="0"/>
          <w:sz w:val="32"/>
          <w:szCs w:val="32"/>
          <w:lang w:eastAsia="zh-CN"/>
        </w:rPr>
      </w:pPr>
    </w:p>
    <w:p w14:paraId="21432E44">
      <w:pPr>
        <w:pStyle w:val="3"/>
        <w:spacing w:before="0" w:line="520" w:lineRule="exact"/>
        <w:ind w:firstLine="640" w:firstLineChars="200"/>
        <w:jc w:val="both"/>
        <w:rPr>
          <w:b w:val="0"/>
          <w:sz w:val="32"/>
          <w:szCs w:val="32"/>
          <w:lang w:eastAsia="zh-CN"/>
        </w:rPr>
      </w:pPr>
    </w:p>
    <w:sectPr>
      <w:footerReference r:id="rId7" w:type="default"/>
      <w:pgSz w:w="11900" w:h="16840"/>
      <w:pgMar w:top="1431" w:right="1235" w:bottom="1224" w:left="1700" w:header="0" w:footer="935"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华文宋体">
    <w:panose1 w:val="02010600040101010101"/>
    <w:charset w:val="86"/>
    <w:family w:val="auto"/>
    <w:pitch w:val="default"/>
    <w:sig w:usb0="00000287" w:usb1="080F0000" w:usb2="00000000" w:usb3="00000000" w:csb0="0004009F" w:csb1="DFD70000"/>
  </w:font>
  <w:font w:name="华文琥珀">
    <w:panose1 w:val="02010800040101010101"/>
    <w:charset w:val="86"/>
    <w:family w:val="auto"/>
    <w:pitch w:val="default"/>
    <w:sig w:usb0="00000001" w:usb1="080F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华文中宋">
    <w:panose1 w:val="02010600040101010101"/>
    <w:charset w:val="86"/>
    <w:family w:val="auto"/>
    <w:pitch w:val="default"/>
    <w:sig w:usb0="00000287" w:usb1="080F0000" w:usb2="00000000" w:usb3="00000000" w:csb0="0004009F" w:csb1="DFD70000"/>
  </w:font>
  <w:font w:name="Times New Roman Regular">
    <w:altName w:val="Times New Roman"/>
    <w:panose1 w:val="00000000000000000000"/>
    <w:charset w:val="00"/>
    <w:family w:val="auto"/>
    <w:pitch w:val="default"/>
    <w:sig w:usb0="00000000" w:usb1="00000000" w:usb2="00000009" w:usb3="00000000" w:csb0="400001FF" w:csb1="FFFF0000"/>
  </w:font>
  <w:font w:name="华文隶书">
    <w:panose1 w:val="02010800040101010101"/>
    <w:charset w:val="86"/>
    <w:family w:val="auto"/>
    <w:pitch w:val="default"/>
    <w:sig w:usb0="00000001" w:usb1="080F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Style w:val="12"/>
      </w:rPr>
      <w:id w:val="1647786622"/>
    </w:sdtPr>
    <w:sdtEndPr>
      <w:rPr>
        <w:rStyle w:val="12"/>
      </w:rPr>
    </w:sdtEndPr>
    <w:sdtContent>
      <w:p w14:paraId="535F40AF">
        <w:pPr>
          <w:pStyle w:val="6"/>
          <w:framePr w:wrap="auto" w:vAnchor="text" w:hAnchor="margin" w:xAlign="center" w:y="1"/>
          <w:rPr>
            <w:rStyle w:val="12"/>
          </w:rPr>
        </w:pPr>
        <w:r>
          <w:rPr>
            <w:rStyle w:val="12"/>
          </w:rPr>
          <w:fldChar w:fldCharType="begin"/>
        </w:r>
        <w:r>
          <w:rPr>
            <w:rStyle w:val="12"/>
          </w:rPr>
          <w:instrText xml:space="preserve"> PAGE </w:instrText>
        </w:r>
        <w:r>
          <w:rPr>
            <w:rStyle w:val="12"/>
          </w:rPr>
          <w:fldChar w:fldCharType="separate"/>
        </w:r>
        <w:r>
          <w:rPr>
            <w:rStyle w:val="12"/>
          </w:rPr>
          <w:t>2</w:t>
        </w:r>
        <w:r>
          <w:rPr>
            <w:rStyle w:val="12"/>
          </w:rPr>
          <w:fldChar w:fldCharType="end"/>
        </w:r>
      </w:p>
    </w:sdtContent>
  </w:sdt>
  <w:p w14:paraId="63365FD3"/>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Style w:val="12"/>
      </w:rPr>
      <w:id w:val="1069235829"/>
    </w:sdtPr>
    <w:sdtEndPr>
      <w:rPr>
        <w:rStyle w:val="12"/>
      </w:rPr>
    </w:sdtEndPr>
    <w:sdtContent>
      <w:p w14:paraId="30E01C1C">
        <w:pPr>
          <w:pStyle w:val="6"/>
          <w:framePr w:wrap="auto" w:vAnchor="text" w:hAnchor="margin" w:xAlign="center" w:y="1"/>
          <w:rPr>
            <w:rStyle w:val="12"/>
          </w:rPr>
        </w:pPr>
        <w:r>
          <w:rPr>
            <w:rStyle w:val="12"/>
          </w:rPr>
          <w:fldChar w:fldCharType="begin"/>
        </w:r>
        <w:r>
          <w:rPr>
            <w:rStyle w:val="12"/>
          </w:rPr>
          <w:instrText xml:space="preserve"> PAGE </w:instrText>
        </w:r>
        <w:r>
          <w:rPr>
            <w:rStyle w:val="12"/>
          </w:rPr>
          <w:fldChar w:fldCharType="end"/>
        </w:r>
      </w:p>
    </w:sdtContent>
  </w:sdt>
  <w:p w14:paraId="38EA6529">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30C66A">
    <w:r>
      <w:rPr>
        <w:spacing w:val="-11"/>
        <w:w w:val="70"/>
      </w:rPr>
      <w:t>—</w:t>
    </w:r>
    <w:r>
      <w:t>10—</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19" w:lineRule="auto"/>
      </w:pPr>
      <w:r>
        <w:separator/>
      </w:r>
    </w:p>
  </w:footnote>
  <w:footnote w:type="continuationSeparator" w:id="1">
    <w:p>
      <w:pPr>
        <w:spacing w:before="0" w:after="0" w:line="21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29A24E7"/>
    <w:multiLevelType w:val="singleLevel"/>
    <w:tmpl w:val="B29A24E7"/>
    <w:lvl w:ilvl="0" w:tentative="0">
      <w:start w:val="3"/>
      <w:numFmt w:val="chineseCounting"/>
      <w:pStyle w:val="15"/>
      <w:suff w:val="space"/>
      <w:lvlText w:val="第%1条"/>
      <w:lvlJc w:val="left"/>
      <w:rPr>
        <w:rFonts w:hint="eastAsia" w:ascii="黑体" w:hAnsi="黑体" w:eastAsia="黑体" w:cs="黑体"/>
      </w:rPr>
    </w:lvl>
  </w:abstractNum>
  <w:abstractNum w:abstractNumId="1">
    <w:nsid w:val="2A0D355D"/>
    <w:multiLevelType w:val="singleLevel"/>
    <w:tmpl w:val="2A0D355D"/>
    <w:lvl w:ilvl="0" w:tentative="0">
      <w:start w:val="2"/>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embedSystemFonts/>
  <w:bordersDoNotSurroundHeader w:val="1"/>
  <w:bordersDoNotSurroundFooter w:val="1"/>
  <w:documentProtection w:enforcement="0"/>
  <w:defaultTabStop w:val="420"/>
  <w:noPunctuationKerning w:val="1"/>
  <w:characterSpacingControl w:val="doNotCompress"/>
  <w:footnotePr>
    <w:footnote w:id="0"/>
    <w:footnote w:id="1"/>
  </w:footnotePr>
  <w:endnotePr>
    <w:endnote w:id="0"/>
    <w:endnote w:id="1"/>
  </w:endnotePr>
  <w:compat>
    <w:spaceForUL/>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VhNGJiMWVmZTg4ZjFhYWZhYWFiMzBkODkwYWRkZmUifQ=="/>
  </w:docVars>
  <w:rsids>
    <w:rsidRoot w:val="00510121"/>
    <w:rsid w:val="00003F09"/>
    <w:rsid w:val="00037084"/>
    <w:rsid w:val="000D18B0"/>
    <w:rsid w:val="000D65B8"/>
    <w:rsid w:val="00195E91"/>
    <w:rsid w:val="001D5064"/>
    <w:rsid w:val="001F3C5E"/>
    <w:rsid w:val="003777CC"/>
    <w:rsid w:val="00413F7B"/>
    <w:rsid w:val="004C2120"/>
    <w:rsid w:val="00510121"/>
    <w:rsid w:val="0059715C"/>
    <w:rsid w:val="005B4D16"/>
    <w:rsid w:val="00646A70"/>
    <w:rsid w:val="008F7621"/>
    <w:rsid w:val="00904E10"/>
    <w:rsid w:val="009B2C1E"/>
    <w:rsid w:val="009C3648"/>
    <w:rsid w:val="009F2810"/>
    <w:rsid w:val="009F6238"/>
    <w:rsid w:val="00A11011"/>
    <w:rsid w:val="00A45B82"/>
    <w:rsid w:val="00AB37EC"/>
    <w:rsid w:val="00BA084A"/>
    <w:rsid w:val="00C57E63"/>
    <w:rsid w:val="00C97147"/>
    <w:rsid w:val="00CC77D5"/>
    <w:rsid w:val="00EB2108"/>
    <w:rsid w:val="00EC0508"/>
    <w:rsid w:val="00FA6015"/>
    <w:rsid w:val="02AF5609"/>
    <w:rsid w:val="02E53BE7"/>
    <w:rsid w:val="03B10EED"/>
    <w:rsid w:val="04C65FF1"/>
    <w:rsid w:val="067C370D"/>
    <w:rsid w:val="06846D9B"/>
    <w:rsid w:val="074F4AAE"/>
    <w:rsid w:val="080978DB"/>
    <w:rsid w:val="08EC7D7C"/>
    <w:rsid w:val="0B022CFF"/>
    <w:rsid w:val="0B311BC7"/>
    <w:rsid w:val="121E62E8"/>
    <w:rsid w:val="142A0F31"/>
    <w:rsid w:val="15C556EA"/>
    <w:rsid w:val="15DD42F0"/>
    <w:rsid w:val="17534289"/>
    <w:rsid w:val="19B222F5"/>
    <w:rsid w:val="19F26E76"/>
    <w:rsid w:val="1C674E20"/>
    <w:rsid w:val="1CD95122"/>
    <w:rsid w:val="1CF93C7F"/>
    <w:rsid w:val="1EC46782"/>
    <w:rsid w:val="1EEE7042"/>
    <w:rsid w:val="20730FFF"/>
    <w:rsid w:val="21A369C2"/>
    <w:rsid w:val="21E65741"/>
    <w:rsid w:val="245F0FB0"/>
    <w:rsid w:val="24D4754B"/>
    <w:rsid w:val="27E843D9"/>
    <w:rsid w:val="29530A46"/>
    <w:rsid w:val="29A57E71"/>
    <w:rsid w:val="2AD173DB"/>
    <w:rsid w:val="2B557A29"/>
    <w:rsid w:val="2E19750B"/>
    <w:rsid w:val="2EAF00AC"/>
    <w:rsid w:val="2EFE7D27"/>
    <w:rsid w:val="30DE0428"/>
    <w:rsid w:val="3297106A"/>
    <w:rsid w:val="32EB0C35"/>
    <w:rsid w:val="341747BD"/>
    <w:rsid w:val="35A103F3"/>
    <w:rsid w:val="35FA6157"/>
    <w:rsid w:val="37CB4A67"/>
    <w:rsid w:val="39D00935"/>
    <w:rsid w:val="3A1C3E88"/>
    <w:rsid w:val="40F40090"/>
    <w:rsid w:val="421F3BC8"/>
    <w:rsid w:val="42312C1E"/>
    <w:rsid w:val="42864241"/>
    <w:rsid w:val="42EA1C3A"/>
    <w:rsid w:val="42FE51F6"/>
    <w:rsid w:val="461F6A30"/>
    <w:rsid w:val="46522862"/>
    <w:rsid w:val="46ED010F"/>
    <w:rsid w:val="47F26DE5"/>
    <w:rsid w:val="491760EA"/>
    <w:rsid w:val="4D2633F8"/>
    <w:rsid w:val="4E4802F3"/>
    <w:rsid w:val="4ED56B56"/>
    <w:rsid w:val="4EF55DD3"/>
    <w:rsid w:val="4F63001D"/>
    <w:rsid w:val="4FC96967"/>
    <w:rsid w:val="4FF1574F"/>
    <w:rsid w:val="543A2D18"/>
    <w:rsid w:val="580A1AEF"/>
    <w:rsid w:val="586C7215"/>
    <w:rsid w:val="58EB4ABD"/>
    <w:rsid w:val="5A5D7ABF"/>
    <w:rsid w:val="608C190B"/>
    <w:rsid w:val="608F3EB8"/>
    <w:rsid w:val="61C12CED"/>
    <w:rsid w:val="61C2681F"/>
    <w:rsid w:val="64BC218E"/>
    <w:rsid w:val="6607700B"/>
    <w:rsid w:val="66772F32"/>
    <w:rsid w:val="68662D72"/>
    <w:rsid w:val="690A3F45"/>
    <w:rsid w:val="6CA60798"/>
    <w:rsid w:val="6CCD3E8D"/>
    <w:rsid w:val="6D6C0D24"/>
    <w:rsid w:val="6EE56F6F"/>
    <w:rsid w:val="71362EB4"/>
    <w:rsid w:val="727A0783"/>
    <w:rsid w:val="72E6037C"/>
    <w:rsid w:val="785904E4"/>
    <w:rsid w:val="78720435"/>
    <w:rsid w:val="79294073"/>
    <w:rsid w:val="794817A1"/>
    <w:rsid w:val="7A857A07"/>
    <w:rsid w:val="7B810197"/>
    <w:rsid w:val="7B9F23CB"/>
    <w:rsid w:val="BFFEADA3"/>
    <w:rsid w:val="D29FB512"/>
    <w:rsid w:val="FB6FCE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semiHidden/>
    <w:qFormat/>
    <w:uiPriority w:val="0"/>
    <w:pPr>
      <w:kinsoku w:val="0"/>
      <w:autoSpaceDE w:val="0"/>
      <w:autoSpaceDN w:val="0"/>
      <w:adjustRightInd w:val="0"/>
      <w:snapToGrid w:val="0"/>
      <w:spacing w:before="94" w:line="219" w:lineRule="auto"/>
      <w:jc w:val="center"/>
      <w:textAlignment w:val="baseline"/>
    </w:pPr>
    <w:rPr>
      <w:rFonts w:ascii="仿宋" w:hAnsi="仿宋" w:eastAsia="仿宋" w:cs="黑体"/>
      <w:b/>
      <w:bCs/>
      <w:snapToGrid w:val="0"/>
      <w:color w:val="000000"/>
      <w:sz w:val="32"/>
      <w:szCs w:val="32"/>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9"/>
    <w:qFormat/>
    <w:uiPriority w:val="0"/>
    <w:pPr>
      <w:jc w:val="left"/>
    </w:pPr>
  </w:style>
  <w:style w:type="paragraph" w:styleId="3">
    <w:name w:val="Body Text"/>
    <w:basedOn w:val="1"/>
    <w:semiHidden/>
    <w:qFormat/>
    <w:uiPriority w:val="0"/>
    <w:rPr>
      <w:rFonts w:cs="仿宋"/>
      <w:sz w:val="33"/>
      <w:szCs w:val="33"/>
      <w:lang w:eastAsia="en-US"/>
    </w:rPr>
  </w:style>
  <w:style w:type="paragraph" w:styleId="4">
    <w:name w:val="Plain Text"/>
    <w:basedOn w:val="1"/>
    <w:qFormat/>
    <w:uiPriority w:val="0"/>
    <w:pPr>
      <w:spacing w:line="312" w:lineRule="atLeast"/>
    </w:pPr>
    <w:rPr>
      <w:rFonts w:ascii="宋体" w:hAnsi="Courier New" w:eastAsia="宋体" w:cs="Times New Roman"/>
    </w:rPr>
  </w:style>
  <w:style w:type="paragraph" w:styleId="5">
    <w:name w:val="Balloon Text"/>
    <w:basedOn w:val="1"/>
    <w:link w:val="18"/>
    <w:qFormat/>
    <w:uiPriority w:val="0"/>
    <w:pPr>
      <w:spacing w:before="0" w:line="240" w:lineRule="auto"/>
    </w:pPr>
    <w:rPr>
      <w:sz w:val="18"/>
      <w:szCs w:val="18"/>
    </w:rPr>
  </w:style>
  <w:style w:type="paragraph" w:styleId="6">
    <w:name w:val="footer"/>
    <w:basedOn w:val="1"/>
    <w:link w:val="17"/>
    <w:qFormat/>
    <w:uiPriority w:val="0"/>
    <w:pPr>
      <w:tabs>
        <w:tab w:val="center" w:pos="4153"/>
        <w:tab w:val="right" w:pos="8306"/>
      </w:tabs>
      <w:spacing w:line="240" w:lineRule="auto"/>
      <w:jc w:val="left"/>
    </w:pPr>
    <w:rPr>
      <w:sz w:val="18"/>
      <w:szCs w:val="18"/>
    </w:rPr>
  </w:style>
  <w:style w:type="paragraph" w:styleId="7">
    <w:name w:val="header"/>
    <w:basedOn w:val="1"/>
    <w:link w:val="16"/>
    <w:qFormat/>
    <w:uiPriority w:val="0"/>
    <w:pPr>
      <w:pBdr>
        <w:bottom w:val="single" w:color="auto" w:sz="6" w:space="1"/>
      </w:pBdr>
      <w:tabs>
        <w:tab w:val="center" w:pos="4153"/>
        <w:tab w:val="right" w:pos="8306"/>
      </w:tabs>
      <w:spacing w:line="240" w:lineRule="auto"/>
    </w:pPr>
    <w:rPr>
      <w:sz w:val="18"/>
      <w:szCs w:val="18"/>
    </w:rPr>
  </w:style>
  <w:style w:type="paragraph" w:styleId="8">
    <w:name w:val="Normal (Web)"/>
    <w:basedOn w:val="1"/>
    <w:semiHidden/>
    <w:unhideWhenUsed/>
    <w:qFormat/>
    <w:uiPriority w:val="99"/>
    <w:pPr>
      <w:spacing w:before="0" w:beforeAutospacing="1" w:afterAutospacing="1"/>
      <w:jc w:val="left"/>
    </w:pPr>
    <w:rPr>
      <w:rFonts w:cs="Times New Roman"/>
      <w:sz w:val="24"/>
    </w:rPr>
  </w:style>
  <w:style w:type="paragraph" w:styleId="9">
    <w:name w:val="annotation subject"/>
    <w:basedOn w:val="2"/>
    <w:next w:val="2"/>
    <w:link w:val="20"/>
    <w:qFormat/>
    <w:uiPriority w:val="0"/>
  </w:style>
  <w:style w:type="character" w:styleId="12">
    <w:name w:val="page number"/>
    <w:basedOn w:val="11"/>
    <w:qFormat/>
    <w:uiPriority w:val="0"/>
  </w:style>
  <w:style w:type="character" w:styleId="13">
    <w:name w:val="annotation reference"/>
    <w:basedOn w:val="11"/>
    <w:qFormat/>
    <w:uiPriority w:val="0"/>
    <w:rPr>
      <w:sz w:val="21"/>
      <w:szCs w:val="21"/>
    </w:rPr>
  </w:style>
  <w:style w:type="table" w:customStyle="1" w:styleId="14">
    <w:name w:val="Table Normal"/>
    <w:autoRedefine/>
    <w:semiHidden/>
    <w:unhideWhenUsed/>
    <w:qFormat/>
    <w:uiPriority w:val="0"/>
    <w:tblPr>
      <w:tblCellMar>
        <w:top w:w="0" w:type="dxa"/>
        <w:left w:w="0" w:type="dxa"/>
        <w:bottom w:w="0" w:type="dxa"/>
        <w:right w:w="0" w:type="dxa"/>
      </w:tblCellMar>
    </w:tblPr>
  </w:style>
  <w:style w:type="paragraph" w:styleId="15">
    <w:name w:val="List Paragraph"/>
    <w:basedOn w:val="1"/>
    <w:autoRedefine/>
    <w:qFormat/>
    <w:uiPriority w:val="34"/>
    <w:pPr>
      <w:numPr>
        <w:ilvl w:val="0"/>
        <w:numId w:val="1"/>
      </w:numPr>
      <w:spacing w:before="0" w:line="520" w:lineRule="exact"/>
      <w:ind w:firstLine="640" w:firstLineChars="200"/>
      <w:jc w:val="both"/>
    </w:pPr>
    <w:rPr>
      <w:b w:val="0"/>
    </w:rPr>
  </w:style>
  <w:style w:type="character" w:customStyle="1" w:styleId="16">
    <w:name w:val="页眉 Char"/>
    <w:basedOn w:val="11"/>
    <w:link w:val="7"/>
    <w:qFormat/>
    <w:uiPriority w:val="0"/>
    <w:rPr>
      <w:rFonts w:ascii="仿宋" w:hAnsi="仿宋" w:eastAsia="仿宋" w:cs="黑体"/>
      <w:b/>
      <w:bCs/>
      <w:snapToGrid w:val="0"/>
      <w:color w:val="000000"/>
      <w:sz w:val="18"/>
      <w:szCs w:val="18"/>
    </w:rPr>
  </w:style>
  <w:style w:type="character" w:customStyle="1" w:styleId="17">
    <w:name w:val="页脚 Char"/>
    <w:basedOn w:val="11"/>
    <w:link w:val="6"/>
    <w:qFormat/>
    <w:uiPriority w:val="0"/>
    <w:rPr>
      <w:rFonts w:ascii="仿宋" w:hAnsi="仿宋" w:eastAsia="仿宋" w:cs="黑体"/>
      <w:b/>
      <w:bCs/>
      <w:snapToGrid w:val="0"/>
      <w:color w:val="000000"/>
      <w:sz w:val="18"/>
      <w:szCs w:val="18"/>
    </w:rPr>
  </w:style>
  <w:style w:type="character" w:customStyle="1" w:styleId="18">
    <w:name w:val="批注框文本 Char"/>
    <w:basedOn w:val="11"/>
    <w:link w:val="5"/>
    <w:qFormat/>
    <w:uiPriority w:val="0"/>
    <w:rPr>
      <w:rFonts w:ascii="仿宋" w:hAnsi="仿宋" w:eastAsia="仿宋" w:cs="黑体"/>
      <w:b/>
      <w:bCs/>
      <w:snapToGrid w:val="0"/>
      <w:color w:val="000000"/>
      <w:sz w:val="18"/>
      <w:szCs w:val="18"/>
    </w:rPr>
  </w:style>
  <w:style w:type="character" w:customStyle="1" w:styleId="19">
    <w:name w:val="批注文字 Char"/>
    <w:basedOn w:val="11"/>
    <w:link w:val="2"/>
    <w:qFormat/>
    <w:uiPriority w:val="0"/>
    <w:rPr>
      <w:rFonts w:ascii="仿宋" w:hAnsi="仿宋" w:eastAsia="仿宋" w:cs="黑体"/>
      <w:b/>
      <w:bCs/>
      <w:snapToGrid w:val="0"/>
      <w:color w:val="000000"/>
      <w:sz w:val="32"/>
      <w:szCs w:val="32"/>
    </w:rPr>
  </w:style>
  <w:style w:type="character" w:customStyle="1" w:styleId="20">
    <w:name w:val="批注主题 Char"/>
    <w:basedOn w:val="19"/>
    <w:link w:val="9"/>
    <w:qFormat/>
    <w:uiPriority w:val="0"/>
    <w:rPr>
      <w:rFonts w:ascii="仿宋" w:hAnsi="仿宋" w:eastAsia="仿宋" w:cs="黑体"/>
      <w:snapToGrid w:val="0"/>
      <w:color w:val="000000"/>
      <w:sz w:val="32"/>
      <w:szCs w:val="32"/>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22</Pages>
  <Words>11883</Words>
  <Characters>12105</Characters>
  <Lines>92</Lines>
  <Paragraphs>26</Paragraphs>
  <TotalTime>4</TotalTime>
  <ScaleCrop>false</ScaleCrop>
  <LinksUpToDate>false</LinksUpToDate>
  <CharactersWithSpaces>12434</CharactersWithSpaces>
  <Application>WPS Office_12.1.0.17440_F1E327BC-269C-435d-A152-05C5408002CA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2024-05-22T14:57:00Z</dcterms:created>
  <dc:creator>86139</dc:creator>
  <cp:lastModifiedBy>安琪</cp:lastModifiedBy>
  <dcterms:modified xsi:type="dcterms:W3CDTF">2024-07-11T09:15:30Z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wqlLaW5nc29mdCBQREYgdG8gV1BTIDkw</vt:lpwstr>
  </property>
  <property fmtid="{D5CDD505-2E9C-101B-9397-08002B2CF9AE}" pid="3" name="Created">
    <vt:filetime>2024-05-15T10:57:52Z</vt:filetime>
  </property>
  <property fmtid="{D5CDD505-2E9C-101B-9397-08002B2CF9AE}" pid="4" name="UsrData">
    <vt:lpwstr>664424aa700a27001fdaaa88wl</vt:lpwstr>
  </property>
  <property fmtid="{D5CDD505-2E9C-101B-9397-08002B2CF9AE}" pid="5" name="KSOProductBuildVer">
    <vt:lpwstr>2052-12.1.0.17440</vt:lpwstr>
  </property>
  <property fmtid="{D5CDD505-2E9C-101B-9397-08002B2CF9AE}" pid="6" name="ICV">
    <vt:lpwstr>ED32B0023D004CF6893E1F82F3DB4D44_13</vt:lpwstr>
  </property>
</Properties>
</file>