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EA4134">
      <w:pPr>
        <w:spacing w:line="560" w:lineRule="exact"/>
        <w:jc w:val="both"/>
        <w:rPr>
          <w:rFonts w:hint="default" w:ascii="宋体" w:hAnsi="宋体" w:eastAsia="宋体"/>
          <w:b/>
          <w:bCs w:val="0"/>
          <w:sz w:val="28"/>
          <w:szCs w:val="28"/>
          <w:lang w:val="en-US" w:eastAsia="zh-CN"/>
        </w:rPr>
      </w:pPr>
      <w:r>
        <w:rPr>
          <w:rFonts w:hint="eastAsia" w:ascii="宋体" w:hAnsi="宋体" w:eastAsia="宋体"/>
          <w:b/>
          <w:bCs w:val="0"/>
          <w:sz w:val="28"/>
          <w:szCs w:val="28"/>
          <w:lang w:val="en-US" w:eastAsia="zh-CN"/>
        </w:rPr>
        <w:t>附件5</w:t>
      </w:r>
      <w:bookmarkStart w:id="0" w:name="_GoBack"/>
      <w:bookmarkEnd w:id="0"/>
    </w:p>
    <w:p w14:paraId="04A91826">
      <w:pPr>
        <w:spacing w:line="560" w:lineRule="exact"/>
        <w:jc w:val="center"/>
        <w:rPr>
          <w:rFonts w:ascii="宋体" w:hAnsi="宋体" w:eastAsia="宋体"/>
          <w:b/>
          <w:sz w:val="36"/>
          <w:szCs w:val="36"/>
        </w:rPr>
      </w:pPr>
      <w:r>
        <w:rPr>
          <w:rFonts w:hint="eastAsia" w:ascii="宋体" w:hAnsi="宋体" w:eastAsia="宋体"/>
          <w:b/>
          <w:sz w:val="36"/>
          <w:szCs w:val="36"/>
        </w:rPr>
        <w:t>中国篮球协会赛事活动监督管理办法</w:t>
      </w:r>
    </w:p>
    <w:p w14:paraId="38E6982E">
      <w:pPr>
        <w:spacing w:line="560" w:lineRule="exact"/>
        <w:jc w:val="center"/>
        <w:rPr>
          <w:rFonts w:ascii="宋体" w:hAnsi="宋体" w:eastAsia="宋体"/>
          <w:b/>
          <w:sz w:val="36"/>
          <w:szCs w:val="36"/>
        </w:rPr>
      </w:pPr>
      <w:r>
        <w:rPr>
          <w:rFonts w:hint="eastAsia" w:ascii="宋体" w:hAnsi="宋体" w:eastAsia="宋体"/>
          <w:b/>
          <w:sz w:val="36"/>
          <w:szCs w:val="36"/>
        </w:rPr>
        <w:t>（征求意见稿）</w:t>
      </w:r>
    </w:p>
    <w:p w14:paraId="1786DD73">
      <w:pPr>
        <w:spacing w:line="560" w:lineRule="exact"/>
        <w:jc w:val="center"/>
        <w:rPr>
          <w:rFonts w:hint="eastAsia" w:eastAsia="仿宋"/>
          <w:sz w:val="32"/>
          <w:szCs w:val="32"/>
          <w:lang w:val="en-US" w:eastAsia="zh-CN"/>
        </w:rPr>
      </w:pPr>
      <w:r>
        <w:rPr>
          <w:rFonts w:hint="eastAsia"/>
          <w:sz w:val="32"/>
          <w:szCs w:val="32"/>
          <w:lang w:val="en-US" w:eastAsia="zh-CN"/>
        </w:rPr>
        <w:t>目录</w:t>
      </w:r>
    </w:p>
    <w:p w14:paraId="3C22BF1A">
      <w:pPr>
        <w:spacing w:line="560" w:lineRule="exact"/>
        <w:jc w:val="center"/>
        <w:rPr>
          <w:rFonts w:ascii="黑体" w:hAnsi="黑体" w:eastAsia="黑体"/>
          <w:sz w:val="32"/>
          <w:szCs w:val="32"/>
        </w:rPr>
      </w:pPr>
      <w:r>
        <w:rPr>
          <w:rFonts w:hint="eastAsia" w:ascii="黑体" w:hAnsi="黑体" w:eastAsia="黑体"/>
          <w:sz w:val="32"/>
          <w:szCs w:val="32"/>
        </w:rPr>
        <w:t xml:space="preserve">第一章 </w:t>
      </w:r>
      <w:r>
        <w:rPr>
          <w:rFonts w:ascii="黑体" w:hAnsi="黑体" w:eastAsia="黑体"/>
          <w:sz w:val="32"/>
          <w:szCs w:val="32"/>
        </w:rPr>
        <w:t xml:space="preserve"> </w:t>
      </w:r>
      <w:r>
        <w:rPr>
          <w:rFonts w:hint="eastAsia" w:ascii="黑体" w:hAnsi="黑体" w:eastAsia="黑体"/>
          <w:sz w:val="32"/>
          <w:szCs w:val="32"/>
        </w:rPr>
        <w:t>总则</w:t>
      </w:r>
    </w:p>
    <w:p w14:paraId="562C5960">
      <w:pPr>
        <w:pStyle w:val="14"/>
        <w:spacing w:before="0" w:line="560" w:lineRule="exact"/>
        <w:ind w:left="0" w:firstLine="602" w:firstLineChars="200"/>
        <w:jc w:val="both"/>
        <w:rPr>
          <w:rFonts w:ascii="仿宋" w:hAnsi="仿宋" w:eastAsia="仿宋"/>
          <w:b/>
          <w:bCs/>
          <w:sz w:val="30"/>
          <w:szCs w:val="30"/>
        </w:rPr>
      </w:pPr>
      <w:r>
        <w:rPr>
          <w:rFonts w:hint="eastAsia" w:ascii="仿宋" w:hAnsi="仿宋" w:eastAsia="仿宋"/>
          <w:b/>
          <w:bCs/>
          <w:sz w:val="30"/>
          <w:szCs w:val="30"/>
        </w:rPr>
        <w:t>第一条 目的</w:t>
      </w:r>
    </w:p>
    <w:p w14:paraId="29DCD8A8">
      <w:pPr>
        <w:pStyle w:val="14"/>
        <w:spacing w:before="0" w:line="560" w:lineRule="exact"/>
        <w:ind w:left="0" w:firstLine="602" w:firstLineChars="200"/>
        <w:jc w:val="both"/>
        <w:rPr>
          <w:rFonts w:ascii="仿宋" w:hAnsi="仿宋" w:eastAsia="仿宋"/>
          <w:b/>
          <w:bCs/>
          <w:sz w:val="30"/>
          <w:szCs w:val="30"/>
        </w:rPr>
      </w:pPr>
      <w:r>
        <w:rPr>
          <w:rFonts w:hint="eastAsia" w:ascii="仿宋" w:hAnsi="仿宋" w:eastAsia="仿宋"/>
          <w:b/>
          <w:bCs/>
          <w:sz w:val="30"/>
          <w:szCs w:val="30"/>
        </w:rPr>
        <w:t>第二条 遵循原则</w:t>
      </w:r>
    </w:p>
    <w:p w14:paraId="7782CE5C">
      <w:pPr>
        <w:widowControl/>
        <w:spacing w:line="560" w:lineRule="exact"/>
        <w:ind w:firstLine="602" w:firstLineChars="200"/>
        <w:jc w:val="both"/>
        <w:rPr>
          <w:color w:val="000000"/>
          <w:sz w:val="30"/>
          <w:szCs w:val="30"/>
          <w:shd w:val="clear" w:color="auto" w:fill="FFFFFF"/>
        </w:rPr>
      </w:pPr>
      <w:r>
        <w:rPr>
          <w:rFonts w:hint="eastAsia" w:cs="PMingLiU"/>
          <w:b/>
          <w:bCs/>
          <w:sz w:val="30"/>
          <w:szCs w:val="30"/>
        </w:rPr>
        <w:t>第三条  适用范围</w:t>
      </w:r>
    </w:p>
    <w:p w14:paraId="5A813797">
      <w:pPr>
        <w:widowControl/>
        <w:spacing w:line="560" w:lineRule="exact"/>
        <w:ind w:firstLine="602" w:firstLineChars="200"/>
        <w:jc w:val="both"/>
        <w:rPr>
          <w:rFonts w:ascii="黑体" w:hAnsi="黑体" w:eastAsia="黑体" w:cs="黑体"/>
          <w:color w:val="000000"/>
          <w:sz w:val="30"/>
          <w:szCs w:val="30"/>
          <w:shd w:val="clear" w:color="auto" w:fill="FFFFFF"/>
        </w:rPr>
      </w:pPr>
      <w:r>
        <w:rPr>
          <w:rFonts w:hint="eastAsia" w:cs="PMingLiU"/>
          <w:b/>
          <w:bCs/>
          <w:sz w:val="30"/>
          <w:szCs w:val="30"/>
        </w:rPr>
        <w:t>第四条  综合治理</w:t>
      </w:r>
    </w:p>
    <w:p w14:paraId="06546E5A">
      <w:pPr>
        <w:spacing w:line="560" w:lineRule="exact"/>
        <w:jc w:val="center"/>
        <w:rPr>
          <w:rFonts w:ascii="黑体" w:hAnsi="黑体" w:eastAsia="黑体"/>
          <w:sz w:val="30"/>
          <w:szCs w:val="30"/>
        </w:rPr>
      </w:pPr>
      <w:r>
        <w:rPr>
          <w:rFonts w:hint="eastAsia" w:ascii="黑体" w:hAnsi="黑体" w:eastAsia="黑体"/>
          <w:sz w:val="32"/>
          <w:szCs w:val="32"/>
        </w:rPr>
        <w:t>第二章 监管组织和职责</w:t>
      </w:r>
    </w:p>
    <w:p w14:paraId="7309275E">
      <w:pPr>
        <w:pStyle w:val="14"/>
        <w:autoSpaceDE/>
        <w:autoSpaceDN/>
        <w:spacing w:before="0" w:line="560" w:lineRule="exact"/>
        <w:ind w:left="0" w:firstLine="602" w:firstLineChars="200"/>
        <w:jc w:val="both"/>
        <w:rPr>
          <w:rFonts w:ascii="仿宋" w:hAnsi="仿宋" w:eastAsia="仿宋"/>
          <w:sz w:val="30"/>
          <w:szCs w:val="30"/>
        </w:rPr>
      </w:pPr>
      <w:r>
        <w:rPr>
          <w:rFonts w:hint="eastAsia" w:ascii="仿宋" w:hAnsi="仿宋" w:eastAsia="仿宋"/>
          <w:b/>
          <w:bCs/>
          <w:sz w:val="30"/>
          <w:szCs w:val="30"/>
        </w:rPr>
        <w:t>第五条 构建协同监管体系</w:t>
      </w:r>
    </w:p>
    <w:p w14:paraId="4057A404">
      <w:pPr>
        <w:pStyle w:val="14"/>
        <w:autoSpaceDE/>
        <w:autoSpaceDN/>
        <w:spacing w:before="0" w:line="560" w:lineRule="exact"/>
        <w:ind w:left="0" w:firstLine="602" w:firstLineChars="200"/>
        <w:jc w:val="both"/>
        <w:rPr>
          <w:rFonts w:hint="eastAsia" w:ascii="仿宋" w:hAnsi="仿宋" w:eastAsia="仿宋" w:cs="PMingLiU"/>
          <w:b/>
          <w:bCs/>
          <w:sz w:val="30"/>
          <w:szCs w:val="30"/>
        </w:rPr>
      </w:pPr>
      <w:r>
        <w:rPr>
          <w:rFonts w:hint="eastAsia" w:ascii="仿宋" w:hAnsi="仿宋" w:eastAsia="仿宋" w:cs="PMingLiU"/>
          <w:b/>
          <w:bCs/>
          <w:sz w:val="30"/>
          <w:szCs w:val="30"/>
        </w:rPr>
        <w:t xml:space="preserve">第六条 </w:t>
      </w:r>
      <w:r>
        <w:rPr>
          <w:rFonts w:hint="eastAsia" w:ascii="仿宋" w:hAnsi="仿宋" w:eastAsia="仿宋" w:cs="PMingLiU"/>
          <w:b/>
          <w:bCs/>
          <w:sz w:val="30"/>
          <w:szCs w:val="30"/>
          <w:lang w:val="en-US" w:eastAsia="zh-CN"/>
        </w:rPr>
        <w:t>完善行业</w:t>
      </w:r>
      <w:r>
        <w:rPr>
          <w:rFonts w:hint="eastAsia" w:ascii="仿宋" w:hAnsi="仿宋" w:eastAsia="仿宋" w:cs="PMingLiU"/>
          <w:b/>
          <w:bCs/>
          <w:sz w:val="30"/>
          <w:szCs w:val="30"/>
        </w:rPr>
        <w:t>监管制度</w:t>
      </w:r>
    </w:p>
    <w:p w14:paraId="5F25C4F1">
      <w:pPr>
        <w:numPr>
          <w:ilvl w:val="255"/>
          <w:numId w:val="0"/>
        </w:numPr>
        <w:autoSpaceDE/>
        <w:autoSpaceDN/>
        <w:spacing w:line="560" w:lineRule="exact"/>
        <w:ind w:firstLine="602" w:firstLineChars="200"/>
        <w:jc w:val="both"/>
        <w:rPr>
          <w:rFonts w:cs="华文仿宋"/>
          <w:b/>
          <w:color w:val="000000"/>
          <w:sz w:val="30"/>
          <w:szCs w:val="30"/>
        </w:rPr>
      </w:pPr>
      <w:r>
        <w:rPr>
          <w:rFonts w:hint="eastAsia" w:cs="华文仿宋"/>
          <w:b/>
          <w:color w:val="000000"/>
          <w:sz w:val="30"/>
          <w:szCs w:val="30"/>
        </w:rPr>
        <w:t>第七条 完善多维监管机制。</w:t>
      </w:r>
    </w:p>
    <w:p w14:paraId="115EB6A6">
      <w:pPr>
        <w:numPr>
          <w:ilvl w:val="255"/>
          <w:numId w:val="0"/>
        </w:numPr>
        <w:autoSpaceDE/>
        <w:autoSpaceDN/>
        <w:spacing w:line="560" w:lineRule="exact"/>
        <w:ind w:firstLine="602" w:firstLineChars="200"/>
        <w:jc w:val="both"/>
        <w:rPr>
          <w:b/>
          <w:bCs/>
          <w:color w:val="000000" w:themeColor="text1"/>
          <w:sz w:val="30"/>
          <w:szCs w:val="30"/>
          <w14:textFill>
            <w14:solidFill>
              <w14:schemeClr w14:val="tx1"/>
            </w14:solidFill>
          </w14:textFill>
        </w:rPr>
      </w:pPr>
      <w:r>
        <w:rPr>
          <w:rFonts w:hint="eastAsia" w:cs="华文仿宋"/>
          <w:b/>
          <w:color w:val="000000"/>
          <w:sz w:val="30"/>
          <w:szCs w:val="30"/>
        </w:rPr>
        <w:t>第九条 赛事监管工作组的职责</w:t>
      </w:r>
    </w:p>
    <w:p w14:paraId="6A69882F">
      <w:pPr>
        <w:pStyle w:val="14"/>
        <w:spacing w:before="0" w:line="560" w:lineRule="exact"/>
        <w:ind w:left="0" w:firstLine="3200" w:firstLineChars="1000"/>
        <w:jc w:val="both"/>
        <w:rPr>
          <w:rFonts w:ascii="黑体" w:hAnsi="黑体" w:eastAsia="黑体"/>
          <w:sz w:val="30"/>
          <w:szCs w:val="30"/>
        </w:rPr>
      </w:pPr>
      <w:r>
        <w:rPr>
          <w:rFonts w:hint="eastAsia" w:ascii="黑体" w:hAnsi="黑体" w:eastAsia="黑体" w:cs="仿宋"/>
          <w:sz w:val="32"/>
          <w:szCs w:val="32"/>
        </w:rPr>
        <w:t>第三章  监督内容</w:t>
      </w:r>
    </w:p>
    <w:p w14:paraId="78C6EE23">
      <w:pPr>
        <w:pStyle w:val="7"/>
        <w:autoSpaceDE/>
        <w:autoSpaceDN/>
        <w:spacing w:before="0" w:beforeAutospacing="0" w:after="0" w:afterAutospacing="0" w:line="560" w:lineRule="exact"/>
        <w:ind w:firstLine="602" w:firstLineChars="200"/>
        <w:jc w:val="left"/>
        <w:rPr>
          <w:rFonts w:asciiTheme="minorHAnsi" w:hAnsiTheme="minorHAnsi" w:eastAsiaTheme="minorEastAsia" w:cstheme="minorBidi"/>
          <w:b/>
          <w:bCs/>
          <w:kern w:val="2"/>
          <w:sz w:val="30"/>
          <w:szCs w:val="30"/>
        </w:rPr>
      </w:pPr>
      <w:r>
        <w:rPr>
          <w:rFonts w:hint="eastAsia" w:asciiTheme="minorHAnsi" w:hAnsiTheme="minorHAnsi" w:eastAsiaTheme="minorEastAsia" w:cstheme="minorBidi"/>
          <w:b/>
          <w:bCs/>
          <w:kern w:val="2"/>
          <w:sz w:val="30"/>
          <w:szCs w:val="30"/>
        </w:rPr>
        <w:t xml:space="preserve"> </w:t>
      </w:r>
      <w:r>
        <w:rPr>
          <w:rFonts w:hint="eastAsia" w:ascii="仿宋" w:hAnsi="仿宋" w:cs="华文仿宋"/>
          <w:b/>
          <w:color w:val="000000"/>
          <w:sz w:val="30"/>
          <w:szCs w:val="30"/>
        </w:rPr>
        <w:t>第十条 监管依据</w:t>
      </w:r>
      <w:r>
        <w:rPr>
          <w:rFonts w:hint="eastAsia" w:asciiTheme="minorHAnsi" w:hAnsiTheme="minorHAnsi" w:eastAsiaTheme="minorEastAsia" w:cstheme="minorBidi"/>
          <w:b/>
          <w:bCs/>
          <w:kern w:val="2"/>
          <w:sz w:val="30"/>
          <w:szCs w:val="30"/>
        </w:rPr>
        <w:t xml:space="preserve"> </w:t>
      </w:r>
    </w:p>
    <w:p w14:paraId="6E3680E6">
      <w:pPr>
        <w:pStyle w:val="6"/>
        <w:autoSpaceDE/>
        <w:autoSpaceDN/>
        <w:spacing w:line="560" w:lineRule="exact"/>
        <w:ind w:firstLine="602" w:firstLineChars="200"/>
        <w:jc w:val="both"/>
        <w:rPr>
          <w:rFonts w:hint="eastAsia" w:eastAsia="仿宋"/>
          <w:sz w:val="30"/>
          <w:szCs w:val="30"/>
          <w:lang w:eastAsia="zh-CN"/>
        </w:rPr>
      </w:pPr>
      <w:r>
        <w:rPr>
          <w:rFonts w:hint="eastAsia" w:cs="华文仿宋"/>
          <w:b/>
          <w:color w:val="000000"/>
          <w:sz w:val="30"/>
          <w:szCs w:val="30"/>
        </w:rPr>
        <w:t>第十一条 监管内容</w:t>
      </w:r>
    </w:p>
    <w:p w14:paraId="28E76470">
      <w:pPr>
        <w:pStyle w:val="7"/>
        <w:shd w:val="clear" w:color="auto" w:fill="FFFFFF"/>
        <w:autoSpaceDE/>
        <w:autoSpaceDN/>
        <w:spacing w:before="0" w:beforeAutospacing="0" w:after="0" w:afterAutospacing="0" w:line="560" w:lineRule="exact"/>
        <w:ind w:firstLine="602" w:firstLineChars="200"/>
        <w:jc w:val="both"/>
        <w:rPr>
          <w:rFonts w:ascii="黑体" w:hAnsi="黑体" w:eastAsia="黑体" w:cs="黑体"/>
          <w:color w:val="333333"/>
          <w:sz w:val="30"/>
          <w:szCs w:val="30"/>
          <w:shd w:val="clear" w:color="auto" w:fill="FFFFFF"/>
        </w:rPr>
      </w:pPr>
      <w:r>
        <w:rPr>
          <w:rFonts w:hint="eastAsia" w:ascii="仿宋" w:hAnsi="仿宋" w:cs="华文仿宋"/>
          <w:b/>
          <w:color w:val="000000"/>
          <w:sz w:val="30"/>
          <w:szCs w:val="30"/>
        </w:rPr>
        <w:t>第十二条  赛前、赛中、赛后监管重点</w:t>
      </w:r>
    </w:p>
    <w:p w14:paraId="0F38D83D">
      <w:pPr>
        <w:spacing w:line="560" w:lineRule="exact"/>
        <w:jc w:val="center"/>
        <w:rPr>
          <w:rFonts w:ascii="黑体" w:hAnsi="黑体" w:eastAsia="黑体"/>
          <w:sz w:val="32"/>
          <w:szCs w:val="32"/>
        </w:rPr>
      </w:pPr>
      <w:r>
        <w:rPr>
          <w:rFonts w:hint="eastAsia" w:ascii="黑体" w:hAnsi="黑体" w:eastAsia="黑体"/>
          <w:sz w:val="32"/>
          <w:szCs w:val="32"/>
        </w:rPr>
        <w:t>第四章  监管处置</w:t>
      </w:r>
    </w:p>
    <w:p w14:paraId="7665A994">
      <w:pPr>
        <w:autoSpaceDE/>
        <w:autoSpaceDN/>
        <w:spacing w:line="560" w:lineRule="exact"/>
        <w:ind w:firstLine="602" w:firstLineChars="200"/>
        <w:jc w:val="both"/>
        <w:rPr>
          <w:rFonts w:eastAsiaTheme="minorEastAsia"/>
          <w:b/>
          <w:bCs/>
          <w:sz w:val="30"/>
          <w:szCs w:val="30"/>
        </w:rPr>
      </w:pPr>
      <w:r>
        <w:rPr>
          <w:rFonts w:hint="eastAsia"/>
          <w:b/>
          <w:bCs/>
          <w:sz w:val="30"/>
          <w:szCs w:val="30"/>
        </w:rPr>
        <w:t>第十三条 监管方法</w:t>
      </w:r>
    </w:p>
    <w:p w14:paraId="78217803">
      <w:pPr>
        <w:autoSpaceDE/>
        <w:autoSpaceDN/>
        <w:spacing w:line="560" w:lineRule="exact"/>
        <w:ind w:firstLine="602" w:firstLineChars="200"/>
        <w:jc w:val="both"/>
        <w:rPr>
          <w:rFonts w:eastAsiaTheme="minorEastAsia"/>
          <w:b/>
          <w:bCs/>
          <w:sz w:val="30"/>
          <w:szCs w:val="30"/>
        </w:rPr>
      </w:pPr>
      <w:r>
        <w:rPr>
          <w:rFonts w:hint="eastAsia"/>
          <w:b/>
          <w:bCs/>
          <w:sz w:val="30"/>
          <w:szCs w:val="30"/>
        </w:rPr>
        <w:t>第十四条 监管方式</w:t>
      </w:r>
    </w:p>
    <w:p w14:paraId="4388692D">
      <w:pPr>
        <w:pStyle w:val="7"/>
        <w:shd w:val="clear" w:color="auto" w:fill="FFFFFF"/>
        <w:autoSpaceDE/>
        <w:autoSpaceDN/>
        <w:spacing w:before="0" w:beforeAutospacing="0" w:after="0" w:afterAutospacing="0" w:line="560" w:lineRule="exact"/>
        <w:ind w:firstLine="602" w:firstLineChars="200"/>
        <w:jc w:val="both"/>
        <w:rPr>
          <w:rFonts w:ascii="仿宋" w:hAnsi="仿宋"/>
          <w:sz w:val="30"/>
          <w:szCs w:val="30"/>
        </w:rPr>
      </w:pPr>
      <w:r>
        <w:rPr>
          <w:rFonts w:hint="eastAsia" w:ascii="仿宋" w:hAnsi="仿宋" w:cs="仿宋"/>
          <w:b/>
          <w:bCs/>
          <w:sz w:val="30"/>
          <w:szCs w:val="30"/>
        </w:rPr>
        <w:t>第十五条 发现与受理</w:t>
      </w:r>
    </w:p>
    <w:p w14:paraId="35151067">
      <w:pPr>
        <w:pStyle w:val="14"/>
        <w:autoSpaceDE/>
        <w:autoSpaceDN/>
        <w:spacing w:before="0" w:line="560" w:lineRule="exact"/>
        <w:ind w:left="0" w:firstLine="602" w:firstLineChars="200"/>
        <w:jc w:val="both"/>
        <w:rPr>
          <w:rFonts w:ascii="仿宋" w:hAnsi="仿宋" w:eastAsia="仿宋"/>
          <w:sz w:val="30"/>
          <w:szCs w:val="30"/>
        </w:rPr>
      </w:pPr>
      <w:r>
        <w:rPr>
          <w:rFonts w:hint="eastAsia" w:ascii="仿宋" w:hAnsi="仿宋" w:eastAsia="仿宋" w:cs="仿宋"/>
          <w:b/>
          <w:bCs/>
          <w:sz w:val="30"/>
          <w:szCs w:val="30"/>
        </w:rPr>
        <w:t>第十六条 报告与调查</w:t>
      </w:r>
    </w:p>
    <w:p w14:paraId="2FADC2F6">
      <w:pPr>
        <w:pStyle w:val="7"/>
        <w:numPr>
          <w:ilvl w:val="-1"/>
          <w:numId w:val="0"/>
        </w:numPr>
        <w:shd w:val="clear" w:color="auto" w:fill="FFFFFF"/>
        <w:autoSpaceDE/>
        <w:autoSpaceDN/>
        <w:spacing w:before="0" w:beforeAutospacing="0" w:after="0" w:afterAutospacing="0" w:line="560" w:lineRule="exact"/>
        <w:ind w:left="0" w:leftChars="0" w:firstLine="602" w:firstLineChars="200"/>
        <w:jc w:val="both"/>
        <w:rPr>
          <w:rFonts w:ascii="仿宋" w:hAnsi="仿宋" w:cs="仿宋"/>
          <w:b/>
          <w:bCs/>
          <w:sz w:val="30"/>
          <w:szCs w:val="30"/>
        </w:rPr>
      </w:pPr>
      <w:r>
        <w:rPr>
          <w:rFonts w:hint="eastAsia" w:ascii="仿宋" w:hAnsi="仿宋" w:cs="仿宋"/>
          <w:b/>
          <w:bCs/>
          <w:sz w:val="30"/>
          <w:szCs w:val="30"/>
        </w:rPr>
        <w:t>第十七条 处理与反馈</w:t>
      </w:r>
    </w:p>
    <w:p w14:paraId="62BF665E">
      <w:pPr>
        <w:pStyle w:val="14"/>
        <w:numPr>
          <w:ilvl w:val="255"/>
          <w:numId w:val="0"/>
        </w:numPr>
        <w:autoSpaceDE/>
        <w:autoSpaceDN/>
        <w:spacing w:before="0" w:line="560" w:lineRule="exact"/>
        <w:ind w:firstLine="602" w:firstLineChars="200"/>
        <w:jc w:val="both"/>
        <w:rPr>
          <w:rFonts w:ascii="仿宋" w:hAnsi="仿宋" w:eastAsia="仿宋" w:cs="仿宋"/>
          <w:b/>
          <w:bCs/>
          <w:sz w:val="30"/>
          <w:szCs w:val="30"/>
        </w:rPr>
      </w:pPr>
      <w:r>
        <w:rPr>
          <w:rFonts w:hint="eastAsia" w:ascii="仿宋" w:hAnsi="仿宋" w:eastAsia="仿宋" w:cs="仿宋"/>
          <w:b/>
          <w:bCs/>
          <w:sz w:val="30"/>
          <w:szCs w:val="30"/>
        </w:rPr>
        <w:t>第十八条 追责与问责</w:t>
      </w:r>
    </w:p>
    <w:p w14:paraId="0E65D509">
      <w:pPr>
        <w:spacing w:line="560" w:lineRule="exact"/>
        <w:jc w:val="center"/>
        <w:rPr>
          <w:rFonts w:ascii="黑体" w:hAnsi="黑体" w:eastAsia="黑体"/>
          <w:sz w:val="30"/>
          <w:szCs w:val="30"/>
        </w:rPr>
      </w:pPr>
      <w:r>
        <w:rPr>
          <w:rFonts w:hint="eastAsia" w:ascii="黑体" w:hAnsi="黑体" w:eastAsia="黑体"/>
          <w:sz w:val="32"/>
          <w:szCs w:val="32"/>
        </w:rPr>
        <w:t>第五章  附 则</w:t>
      </w:r>
    </w:p>
    <w:p w14:paraId="2DC21363">
      <w:pPr>
        <w:pStyle w:val="14"/>
        <w:autoSpaceDE/>
        <w:autoSpaceDN/>
        <w:spacing w:before="0" w:line="560" w:lineRule="exact"/>
        <w:ind w:left="0" w:firstLine="600" w:firstLineChars="200"/>
        <w:jc w:val="both"/>
        <w:rPr>
          <w:rFonts w:ascii="黑体" w:hAnsi="黑体" w:eastAsia="黑体"/>
          <w:sz w:val="30"/>
          <w:szCs w:val="30"/>
        </w:rPr>
      </w:pPr>
    </w:p>
    <w:p w14:paraId="2B0192BB">
      <w:pPr>
        <w:spacing w:line="560" w:lineRule="exact"/>
        <w:jc w:val="center"/>
        <w:rPr>
          <w:rFonts w:ascii="宋体" w:hAnsi="宋体" w:eastAsia="宋体"/>
          <w:b/>
          <w:sz w:val="36"/>
          <w:szCs w:val="36"/>
        </w:rPr>
      </w:pPr>
      <w:r>
        <w:rPr>
          <w:rFonts w:hint="eastAsia" w:ascii="宋体" w:hAnsi="宋体" w:eastAsia="宋体"/>
          <w:b/>
          <w:sz w:val="36"/>
          <w:szCs w:val="36"/>
        </w:rPr>
        <w:t>中国篮球协会赛事活动监督管理办法</w:t>
      </w:r>
    </w:p>
    <w:p w14:paraId="6DD01BF2">
      <w:pPr>
        <w:spacing w:line="560" w:lineRule="exact"/>
        <w:jc w:val="center"/>
        <w:rPr>
          <w:rFonts w:ascii="宋体" w:hAnsi="宋体" w:eastAsia="宋体"/>
          <w:b/>
          <w:sz w:val="36"/>
          <w:szCs w:val="36"/>
        </w:rPr>
      </w:pPr>
      <w:r>
        <w:rPr>
          <w:rFonts w:hint="eastAsia" w:ascii="宋体" w:hAnsi="宋体" w:eastAsia="宋体"/>
          <w:b/>
          <w:sz w:val="36"/>
          <w:szCs w:val="36"/>
        </w:rPr>
        <w:t>（征求意见稿）</w:t>
      </w:r>
    </w:p>
    <w:p w14:paraId="2C9A79E8">
      <w:pPr>
        <w:spacing w:line="560" w:lineRule="exact"/>
        <w:jc w:val="center"/>
        <w:rPr>
          <w:sz w:val="32"/>
          <w:szCs w:val="32"/>
        </w:rPr>
      </w:pPr>
    </w:p>
    <w:p w14:paraId="0490A552">
      <w:pPr>
        <w:spacing w:line="560" w:lineRule="exact"/>
        <w:jc w:val="center"/>
        <w:rPr>
          <w:rFonts w:ascii="黑体" w:hAnsi="黑体" w:eastAsia="黑体"/>
          <w:sz w:val="32"/>
          <w:szCs w:val="32"/>
        </w:rPr>
      </w:pPr>
      <w:r>
        <w:rPr>
          <w:rFonts w:hint="eastAsia" w:ascii="黑体" w:hAnsi="黑体" w:eastAsia="黑体"/>
          <w:sz w:val="32"/>
          <w:szCs w:val="32"/>
        </w:rPr>
        <w:t xml:space="preserve">第一章 </w:t>
      </w:r>
      <w:r>
        <w:rPr>
          <w:rFonts w:ascii="黑体" w:hAnsi="黑体" w:eastAsia="黑体"/>
          <w:sz w:val="32"/>
          <w:szCs w:val="32"/>
        </w:rPr>
        <w:t xml:space="preserve"> </w:t>
      </w:r>
      <w:r>
        <w:rPr>
          <w:rFonts w:hint="eastAsia" w:ascii="黑体" w:hAnsi="黑体" w:eastAsia="黑体"/>
          <w:sz w:val="32"/>
          <w:szCs w:val="32"/>
        </w:rPr>
        <w:t>总则</w:t>
      </w:r>
    </w:p>
    <w:p w14:paraId="5647BA46">
      <w:pPr>
        <w:spacing w:line="560" w:lineRule="exact"/>
        <w:jc w:val="center"/>
        <w:rPr>
          <w:sz w:val="30"/>
          <w:szCs w:val="30"/>
        </w:rPr>
      </w:pPr>
    </w:p>
    <w:p w14:paraId="6D0AF61F">
      <w:pPr>
        <w:pStyle w:val="14"/>
        <w:spacing w:before="0" w:line="560" w:lineRule="exact"/>
        <w:ind w:left="0" w:firstLine="602" w:firstLineChars="200"/>
        <w:jc w:val="both"/>
        <w:rPr>
          <w:rFonts w:ascii="仿宋" w:hAnsi="仿宋" w:eastAsia="仿宋"/>
          <w:b/>
          <w:bCs/>
          <w:sz w:val="30"/>
          <w:szCs w:val="30"/>
        </w:rPr>
      </w:pPr>
      <w:r>
        <w:rPr>
          <w:rFonts w:hint="eastAsia" w:ascii="仿宋" w:hAnsi="仿宋" w:eastAsia="仿宋"/>
          <w:b/>
          <w:bCs/>
          <w:sz w:val="30"/>
          <w:szCs w:val="30"/>
        </w:rPr>
        <w:t>第一条 目的</w:t>
      </w:r>
    </w:p>
    <w:p w14:paraId="06E9924C">
      <w:pPr>
        <w:pStyle w:val="14"/>
        <w:spacing w:before="0" w:line="560" w:lineRule="exact"/>
        <w:ind w:left="0" w:firstLine="600" w:firstLineChars="200"/>
        <w:jc w:val="both"/>
        <w:rPr>
          <w:rFonts w:ascii="仿宋" w:hAnsi="仿宋" w:eastAsia="仿宋" w:cs="Times New Roman"/>
          <w:sz w:val="30"/>
          <w:szCs w:val="30"/>
          <w:lang w:bidi="ar"/>
        </w:rPr>
      </w:pPr>
      <w:r>
        <w:rPr>
          <w:rFonts w:ascii="仿宋" w:hAnsi="仿宋" w:eastAsia="仿宋"/>
          <w:sz w:val="30"/>
          <w:szCs w:val="30"/>
        </w:rPr>
        <w:t>为</w:t>
      </w:r>
      <w:r>
        <w:rPr>
          <w:rFonts w:hint="eastAsia" w:ascii="仿宋" w:hAnsi="仿宋" w:eastAsia="仿宋"/>
          <w:sz w:val="30"/>
          <w:szCs w:val="30"/>
        </w:rPr>
        <w:t>加强各级各类篮球赛事活动</w:t>
      </w:r>
      <w:r>
        <w:rPr>
          <w:rFonts w:ascii="仿宋" w:hAnsi="仿宋" w:eastAsia="仿宋"/>
          <w:sz w:val="30"/>
          <w:szCs w:val="30"/>
        </w:rPr>
        <w:t>的监督管理，</w:t>
      </w:r>
      <w:r>
        <w:rPr>
          <w:rFonts w:ascii="仿宋" w:hAnsi="仿宋" w:eastAsia="仿宋" w:cs="Times New Roman"/>
          <w:sz w:val="30"/>
          <w:szCs w:val="30"/>
          <w:lang w:bidi="ar"/>
        </w:rPr>
        <w:t>维护篮球赛事</w:t>
      </w:r>
      <w:r>
        <w:rPr>
          <w:rFonts w:hint="eastAsia" w:ascii="仿宋" w:hAnsi="仿宋" w:eastAsia="仿宋" w:cs="Times New Roman"/>
          <w:sz w:val="30"/>
          <w:szCs w:val="30"/>
          <w:lang w:bidi="ar"/>
        </w:rPr>
        <w:t>活动</w:t>
      </w:r>
      <w:r>
        <w:rPr>
          <w:rFonts w:ascii="仿宋" w:hAnsi="仿宋" w:eastAsia="仿宋" w:cs="Times New Roman"/>
          <w:sz w:val="30"/>
          <w:szCs w:val="30"/>
        </w:rPr>
        <w:t>公平、公正、</w:t>
      </w:r>
      <w:r>
        <w:rPr>
          <w:rFonts w:hint="eastAsia" w:ascii="仿宋" w:hAnsi="仿宋" w:eastAsia="仿宋" w:cs="Times New Roman"/>
          <w:sz w:val="30"/>
          <w:szCs w:val="30"/>
        </w:rPr>
        <w:t>安全、</w:t>
      </w:r>
      <w:r>
        <w:rPr>
          <w:rFonts w:ascii="仿宋" w:hAnsi="仿宋" w:eastAsia="仿宋" w:cs="Times New Roman"/>
          <w:sz w:val="30"/>
          <w:szCs w:val="30"/>
        </w:rPr>
        <w:t>有序进行</w:t>
      </w:r>
      <w:r>
        <w:rPr>
          <w:rFonts w:ascii="仿宋" w:hAnsi="仿宋" w:eastAsia="仿宋" w:cs="Times New Roman"/>
          <w:sz w:val="30"/>
          <w:szCs w:val="30"/>
          <w:lang w:bidi="ar"/>
        </w:rPr>
        <w:t>，根据《体育赛事活动赛风赛纪管理办法》</w:t>
      </w:r>
      <w:r>
        <w:rPr>
          <w:rFonts w:hint="eastAsia" w:ascii="仿宋" w:hAnsi="仿宋" w:eastAsia="仿宋" w:cs="Times New Roman"/>
          <w:sz w:val="30"/>
          <w:szCs w:val="30"/>
          <w:lang w:bidi="ar"/>
        </w:rPr>
        <w:t>《各部委关于进一步加强体育赛事活动安全监管服务的意见》等有关加强赛事安全、赛风赛纪和赛事监管有关规定，</w:t>
      </w:r>
      <w:r>
        <w:rPr>
          <w:rFonts w:ascii="仿宋" w:hAnsi="仿宋" w:eastAsia="仿宋" w:cs="Times New Roman"/>
          <w:sz w:val="30"/>
          <w:szCs w:val="30"/>
        </w:rPr>
        <w:t>以及</w:t>
      </w:r>
      <w:r>
        <w:rPr>
          <w:rFonts w:hint="eastAsia" w:ascii="仿宋" w:hAnsi="仿宋" w:eastAsia="仿宋" w:cs="Times New Roman"/>
          <w:sz w:val="30"/>
          <w:szCs w:val="30"/>
          <w:lang w:eastAsia="zh-CN"/>
        </w:rPr>
        <w:t>《</w:t>
      </w:r>
      <w:r>
        <w:rPr>
          <w:rFonts w:hint="eastAsia" w:ascii="仿宋" w:hAnsi="仿宋" w:eastAsia="仿宋" w:cs="Times New Roman"/>
          <w:sz w:val="30"/>
          <w:szCs w:val="30"/>
          <w:lang w:val="en-US" w:eastAsia="zh-CN"/>
        </w:rPr>
        <w:t>中国篮球协会章程</w:t>
      </w:r>
      <w:r>
        <w:rPr>
          <w:rFonts w:hint="eastAsia" w:ascii="仿宋" w:hAnsi="仿宋" w:eastAsia="仿宋" w:cs="Times New Roman"/>
          <w:sz w:val="30"/>
          <w:szCs w:val="30"/>
          <w:lang w:eastAsia="zh-CN"/>
        </w:rPr>
        <w:t>》《</w:t>
      </w:r>
      <w:r>
        <w:rPr>
          <w:rFonts w:hint="eastAsia" w:ascii="仿宋" w:hAnsi="仿宋" w:eastAsia="仿宋" w:cs="Times New Roman"/>
          <w:sz w:val="30"/>
          <w:szCs w:val="30"/>
          <w:lang w:val="en-US" w:eastAsia="zh-CN"/>
        </w:rPr>
        <w:t>中国篮球协会赛事活动管理办法暨实施细则</w:t>
      </w:r>
      <w:r>
        <w:rPr>
          <w:rFonts w:hint="eastAsia" w:ascii="仿宋" w:hAnsi="仿宋" w:eastAsia="仿宋" w:cs="Times New Roman"/>
          <w:sz w:val="30"/>
          <w:szCs w:val="30"/>
          <w:lang w:eastAsia="zh-CN"/>
        </w:rPr>
        <w:t>》</w:t>
      </w:r>
      <w:r>
        <w:rPr>
          <w:rFonts w:hint="eastAsia" w:ascii="仿宋" w:hAnsi="仿宋" w:eastAsia="仿宋" w:cs="Times New Roman"/>
          <w:sz w:val="30"/>
          <w:szCs w:val="30"/>
          <w:lang w:val="en-US" w:eastAsia="zh-CN"/>
        </w:rPr>
        <w:t>等</w:t>
      </w:r>
      <w:r>
        <w:rPr>
          <w:rFonts w:ascii="仿宋" w:hAnsi="仿宋" w:eastAsia="仿宋" w:cs="Times New Roman"/>
          <w:sz w:val="30"/>
          <w:szCs w:val="30"/>
        </w:rPr>
        <w:t>中国篮球协会（以下简称中国篮协）有关规定，</w:t>
      </w:r>
      <w:r>
        <w:rPr>
          <w:rFonts w:ascii="仿宋" w:hAnsi="仿宋" w:eastAsia="仿宋" w:cs="Times New Roman"/>
          <w:sz w:val="30"/>
          <w:szCs w:val="30"/>
          <w:lang w:bidi="ar"/>
        </w:rPr>
        <w:t>制定本办法。</w:t>
      </w:r>
    </w:p>
    <w:p w14:paraId="655636AD">
      <w:pPr>
        <w:pStyle w:val="14"/>
        <w:spacing w:before="0" w:line="560" w:lineRule="exact"/>
        <w:ind w:left="0" w:firstLine="602" w:firstLineChars="200"/>
        <w:jc w:val="both"/>
        <w:rPr>
          <w:rFonts w:ascii="仿宋" w:hAnsi="仿宋" w:eastAsia="仿宋"/>
          <w:b/>
          <w:bCs/>
          <w:sz w:val="30"/>
          <w:szCs w:val="30"/>
        </w:rPr>
      </w:pPr>
      <w:r>
        <w:rPr>
          <w:rFonts w:hint="eastAsia" w:ascii="仿宋" w:hAnsi="仿宋" w:eastAsia="仿宋"/>
          <w:b/>
          <w:bCs/>
          <w:sz w:val="30"/>
          <w:szCs w:val="30"/>
        </w:rPr>
        <w:t>第二条 遵循原则</w:t>
      </w:r>
    </w:p>
    <w:p w14:paraId="7B906ED1">
      <w:pPr>
        <w:pStyle w:val="7"/>
        <w:spacing w:before="0" w:beforeAutospacing="0" w:after="0" w:afterAutospacing="0" w:line="560" w:lineRule="exact"/>
        <w:ind w:firstLine="600" w:firstLineChars="200"/>
        <w:jc w:val="both"/>
        <w:rPr>
          <w:rFonts w:ascii="仿宋" w:hAnsi="仿宋" w:cs="Arial"/>
          <w:sz w:val="30"/>
          <w:szCs w:val="30"/>
        </w:rPr>
      </w:pPr>
      <w:r>
        <w:rPr>
          <w:rFonts w:hint="eastAsia" w:ascii="仿宋" w:hAnsi="仿宋" w:cs="仿宋"/>
          <w:color w:val="000000"/>
          <w:sz w:val="30"/>
          <w:szCs w:val="30"/>
          <w:shd w:val="clear" w:color="auto" w:fill="FFFFFF"/>
        </w:rPr>
        <w:t>坚持政府监管和行业自律相结合，</w:t>
      </w:r>
      <w:r>
        <w:rPr>
          <w:rFonts w:ascii="仿宋" w:hAnsi="仿宋"/>
          <w:sz w:val="30"/>
          <w:szCs w:val="30"/>
        </w:rPr>
        <w:t>遵循</w:t>
      </w:r>
      <w:r>
        <w:rPr>
          <w:rFonts w:ascii="仿宋" w:hAnsi="仿宋" w:cs="Arial"/>
          <w:sz w:val="30"/>
          <w:szCs w:val="30"/>
        </w:rPr>
        <w:t>标准管理、分类指导，优化服务、保障安全的原则</w:t>
      </w:r>
      <w:r>
        <w:rPr>
          <w:rFonts w:hint="eastAsia" w:ascii="仿宋" w:hAnsi="仿宋" w:cs="Arial"/>
          <w:sz w:val="30"/>
          <w:szCs w:val="30"/>
        </w:rPr>
        <w:t>。事前监管靠标准引导，事中监管靠检查督</w:t>
      </w:r>
      <w:r>
        <w:rPr>
          <w:rFonts w:hint="eastAsia" w:ascii="仿宋" w:hAnsi="仿宋" w:cs="Arial"/>
          <w:sz w:val="30"/>
          <w:szCs w:val="30"/>
          <w:lang w:val="en-US" w:eastAsia="zh-CN"/>
        </w:rPr>
        <w:t>导</w:t>
      </w:r>
      <w:r>
        <w:rPr>
          <w:rFonts w:hint="eastAsia" w:ascii="仿宋" w:hAnsi="仿宋" w:cs="Arial"/>
          <w:sz w:val="30"/>
          <w:szCs w:val="30"/>
        </w:rPr>
        <w:t>，事后监管靠奖励和处罚（含信用管理），构建协同多维系统监管体系</w:t>
      </w:r>
      <w:r>
        <w:rPr>
          <w:rFonts w:ascii="仿宋" w:hAnsi="仿宋" w:cs="Arial"/>
          <w:sz w:val="30"/>
          <w:szCs w:val="30"/>
        </w:rPr>
        <w:t>。</w:t>
      </w:r>
    </w:p>
    <w:p w14:paraId="5F492D01">
      <w:pPr>
        <w:widowControl/>
        <w:spacing w:line="560" w:lineRule="exact"/>
        <w:ind w:firstLine="602" w:firstLineChars="200"/>
        <w:jc w:val="both"/>
        <w:rPr>
          <w:color w:val="000000"/>
          <w:sz w:val="30"/>
          <w:szCs w:val="30"/>
          <w:shd w:val="clear" w:color="auto" w:fill="FFFFFF"/>
        </w:rPr>
      </w:pPr>
      <w:r>
        <w:rPr>
          <w:rFonts w:hint="eastAsia" w:cs="PMingLiU"/>
          <w:b/>
          <w:bCs/>
          <w:sz w:val="30"/>
          <w:szCs w:val="30"/>
        </w:rPr>
        <w:t>第三条  适用范围</w:t>
      </w:r>
    </w:p>
    <w:p w14:paraId="72A9DCF4">
      <w:pPr>
        <w:widowControl/>
        <w:spacing w:line="560" w:lineRule="exact"/>
        <w:ind w:firstLine="600" w:firstLineChars="200"/>
        <w:jc w:val="both"/>
        <w:rPr>
          <w:color w:val="000000"/>
          <w:sz w:val="30"/>
          <w:szCs w:val="30"/>
          <w:shd w:val="clear" w:color="auto" w:fill="FFFFFF"/>
        </w:rPr>
      </w:pPr>
      <w:r>
        <w:rPr>
          <w:rFonts w:hint="eastAsia"/>
          <w:color w:val="000000"/>
          <w:sz w:val="30"/>
          <w:szCs w:val="30"/>
          <w:shd w:val="clear" w:color="auto" w:fill="FFFFFF"/>
        </w:rPr>
        <w:t>本办法适用于中国篮协及会员单位（包括其所属会员组织，下同）辖内篮球赛事活动。其他各级各类篮球赛事活动，参照执行。</w:t>
      </w:r>
    </w:p>
    <w:p w14:paraId="15CDA852">
      <w:pPr>
        <w:widowControl/>
        <w:spacing w:line="560" w:lineRule="exact"/>
        <w:ind w:firstLine="602" w:firstLineChars="200"/>
        <w:jc w:val="both"/>
        <w:rPr>
          <w:rFonts w:ascii="黑体" w:hAnsi="黑体" w:eastAsia="黑体" w:cs="黑体"/>
          <w:color w:val="000000"/>
          <w:sz w:val="30"/>
          <w:szCs w:val="30"/>
          <w:shd w:val="clear" w:color="auto" w:fill="FFFFFF"/>
        </w:rPr>
      </w:pPr>
      <w:r>
        <w:rPr>
          <w:rFonts w:hint="eastAsia" w:cs="PMingLiU"/>
          <w:b/>
          <w:bCs/>
          <w:sz w:val="30"/>
          <w:szCs w:val="30"/>
        </w:rPr>
        <w:t>第四条  综合治理</w:t>
      </w:r>
    </w:p>
    <w:p w14:paraId="57721175">
      <w:pPr>
        <w:pStyle w:val="7"/>
        <w:spacing w:before="0" w:beforeAutospacing="0" w:after="0" w:afterAutospacing="0" w:line="560" w:lineRule="exact"/>
        <w:ind w:firstLine="600" w:firstLineChars="200"/>
        <w:jc w:val="both"/>
        <w:rPr>
          <w:rFonts w:ascii="仿宋" w:hAnsi="仿宋" w:cs="仿宋"/>
          <w:color w:val="000000"/>
          <w:sz w:val="30"/>
          <w:szCs w:val="30"/>
          <w:shd w:val="clear" w:color="auto" w:fill="FFFFFF"/>
        </w:rPr>
      </w:pPr>
      <w:r>
        <w:rPr>
          <w:rFonts w:hint="eastAsia" w:ascii="仿宋" w:hAnsi="仿宋" w:cs="仿宋"/>
          <w:color w:val="000000"/>
          <w:sz w:val="30"/>
          <w:szCs w:val="30"/>
          <w:shd w:val="clear" w:color="auto" w:fill="FFFFFF"/>
        </w:rPr>
        <w:t>各级各类篮球赛事举办方（含主办方、承办方、协办方等，下同）应主动加强与公安、宣传、网信、纪检监察等部门的协调联动，在宣传教育、舆论引导、赛场监管、案件查处等方面建立多维联动机制和行业监管全链条，</w:t>
      </w:r>
      <w:r>
        <w:rPr>
          <w:rFonts w:hint="eastAsia" w:ascii="仿宋" w:hAnsi="仿宋" w:cs="仿宋"/>
          <w:color w:val="000000"/>
          <w:sz w:val="30"/>
          <w:szCs w:val="30"/>
          <w:shd w:val="clear" w:color="auto" w:fill="FFFFFF"/>
          <w:lang w:val="en-US" w:eastAsia="zh-CN"/>
        </w:rPr>
        <w:t>共同</w:t>
      </w:r>
      <w:r>
        <w:rPr>
          <w:rFonts w:hint="eastAsia" w:ascii="仿宋" w:hAnsi="仿宋" w:cs="仿宋"/>
          <w:color w:val="000000"/>
          <w:sz w:val="30"/>
          <w:szCs w:val="30"/>
          <w:shd w:val="clear" w:color="auto" w:fill="FFFFFF"/>
        </w:rPr>
        <w:t>推动篮球运动管理法治化、规范化发展。</w:t>
      </w:r>
    </w:p>
    <w:p w14:paraId="368DB0F0">
      <w:pPr>
        <w:widowControl/>
        <w:spacing w:line="560" w:lineRule="exact"/>
        <w:ind w:firstLine="600" w:firstLineChars="200"/>
        <w:jc w:val="both"/>
        <w:rPr>
          <w:color w:val="000000"/>
          <w:sz w:val="30"/>
          <w:szCs w:val="30"/>
          <w:shd w:val="clear" w:color="auto" w:fill="FFFFFF"/>
        </w:rPr>
      </w:pPr>
      <w:r>
        <w:rPr>
          <w:rFonts w:hint="eastAsia"/>
          <w:color w:val="000000"/>
          <w:sz w:val="30"/>
          <w:szCs w:val="30"/>
          <w:shd w:val="clear" w:color="auto" w:fill="FFFFFF"/>
        </w:rPr>
        <w:t>国家体育总局篮球运动管理中心中国篮球协会联合党委（纪委）将会同相关单位党委（纪委），配合赛事举办方就赛事安全、赛风赛纪、管理失职等问题和涉及的党风党纪问题，进行“一案双查”，开展追责问责，压实主体责任，确保各项篮球赛事的顺利进行。</w:t>
      </w:r>
    </w:p>
    <w:p w14:paraId="303EF163">
      <w:pPr>
        <w:widowControl/>
        <w:spacing w:line="560" w:lineRule="exact"/>
        <w:ind w:firstLine="600" w:firstLineChars="200"/>
        <w:rPr>
          <w:color w:val="000000"/>
          <w:sz w:val="30"/>
          <w:szCs w:val="30"/>
          <w:shd w:val="clear" w:color="auto" w:fill="FFFFFF"/>
        </w:rPr>
      </w:pPr>
    </w:p>
    <w:p w14:paraId="2094BA01">
      <w:pPr>
        <w:spacing w:line="560" w:lineRule="exact"/>
        <w:jc w:val="center"/>
        <w:rPr>
          <w:rFonts w:ascii="黑体" w:hAnsi="黑体" w:eastAsia="黑体"/>
          <w:sz w:val="30"/>
          <w:szCs w:val="30"/>
        </w:rPr>
      </w:pPr>
      <w:r>
        <w:rPr>
          <w:rFonts w:hint="eastAsia" w:ascii="黑体" w:hAnsi="黑体" w:eastAsia="黑体"/>
          <w:sz w:val="32"/>
          <w:szCs w:val="32"/>
        </w:rPr>
        <w:t>第二章 监管组织和职责</w:t>
      </w:r>
    </w:p>
    <w:p w14:paraId="74E4DA17">
      <w:pPr>
        <w:spacing w:line="560" w:lineRule="exact"/>
        <w:jc w:val="center"/>
        <w:rPr>
          <w:sz w:val="30"/>
          <w:szCs w:val="30"/>
        </w:rPr>
      </w:pPr>
    </w:p>
    <w:p w14:paraId="0DC2FC9A">
      <w:pPr>
        <w:pStyle w:val="14"/>
        <w:autoSpaceDE/>
        <w:autoSpaceDN/>
        <w:spacing w:before="0" w:line="560" w:lineRule="exact"/>
        <w:ind w:left="0" w:firstLine="602" w:firstLineChars="200"/>
        <w:jc w:val="both"/>
        <w:rPr>
          <w:rFonts w:ascii="仿宋" w:hAnsi="仿宋" w:eastAsia="仿宋"/>
          <w:sz w:val="30"/>
          <w:szCs w:val="30"/>
        </w:rPr>
      </w:pPr>
      <w:r>
        <w:rPr>
          <w:rFonts w:hint="eastAsia" w:ascii="仿宋" w:hAnsi="仿宋" w:eastAsia="仿宋"/>
          <w:b/>
          <w:bCs/>
          <w:sz w:val="30"/>
          <w:szCs w:val="30"/>
        </w:rPr>
        <w:t>第五条 构建协同监管体系</w:t>
      </w:r>
    </w:p>
    <w:p w14:paraId="4A6407AD">
      <w:pPr>
        <w:pStyle w:val="14"/>
        <w:autoSpaceDE/>
        <w:autoSpaceDN/>
        <w:spacing w:before="0" w:line="560" w:lineRule="exact"/>
        <w:ind w:left="0" w:firstLine="600" w:firstLineChars="200"/>
        <w:jc w:val="both"/>
        <w:rPr>
          <w:rFonts w:ascii="仿宋" w:hAnsi="仿宋" w:eastAsia="仿宋"/>
          <w:sz w:val="30"/>
          <w:szCs w:val="30"/>
        </w:rPr>
      </w:pPr>
      <w:r>
        <w:rPr>
          <w:rFonts w:hint="eastAsia" w:ascii="仿宋" w:hAnsi="仿宋" w:eastAsia="仿宋"/>
          <w:sz w:val="30"/>
          <w:szCs w:val="30"/>
          <w:lang w:val="en-US" w:eastAsia="zh-CN"/>
        </w:rPr>
        <w:t>在</w:t>
      </w:r>
      <w:r>
        <w:rPr>
          <w:rFonts w:hint="eastAsia" w:ascii="仿宋" w:hAnsi="仿宋" w:eastAsia="仿宋"/>
          <w:sz w:val="30"/>
          <w:szCs w:val="30"/>
        </w:rPr>
        <w:t>国家</w:t>
      </w:r>
      <w:r>
        <w:rPr>
          <w:rFonts w:ascii="仿宋" w:hAnsi="仿宋" w:eastAsia="仿宋"/>
          <w:sz w:val="30"/>
          <w:szCs w:val="30"/>
        </w:rPr>
        <w:t>体育总局</w:t>
      </w:r>
      <w:r>
        <w:rPr>
          <w:rFonts w:hint="eastAsia" w:ascii="仿宋" w:hAnsi="仿宋" w:eastAsia="仿宋"/>
          <w:sz w:val="30"/>
          <w:szCs w:val="30"/>
          <w:lang w:val="en-US" w:eastAsia="zh-CN"/>
        </w:rPr>
        <w:t>统一领导下，</w:t>
      </w:r>
      <w:r>
        <w:rPr>
          <w:rFonts w:ascii="仿宋" w:hAnsi="仿宋" w:eastAsia="仿宋"/>
          <w:sz w:val="30"/>
          <w:szCs w:val="30"/>
        </w:rPr>
        <w:t>构建以中国</w:t>
      </w:r>
      <w:r>
        <w:rPr>
          <w:rFonts w:hint="eastAsia" w:ascii="仿宋" w:hAnsi="仿宋" w:eastAsia="仿宋"/>
          <w:sz w:val="30"/>
          <w:szCs w:val="30"/>
        </w:rPr>
        <w:t>篮</w:t>
      </w:r>
      <w:r>
        <w:rPr>
          <w:rFonts w:ascii="仿宋" w:hAnsi="仿宋" w:eastAsia="仿宋"/>
          <w:sz w:val="30"/>
          <w:szCs w:val="30"/>
        </w:rPr>
        <w:t>协为主导，以地方体育行政部门、</w:t>
      </w:r>
      <w:r>
        <w:rPr>
          <w:rFonts w:hint="eastAsia" w:ascii="仿宋" w:hAnsi="仿宋" w:eastAsia="仿宋"/>
          <w:sz w:val="30"/>
          <w:szCs w:val="30"/>
          <w:lang w:val="en-US" w:eastAsia="zh-CN"/>
        </w:rPr>
        <w:t>会员单位</w:t>
      </w:r>
      <w:r>
        <w:rPr>
          <w:rFonts w:ascii="仿宋" w:hAnsi="仿宋" w:eastAsia="仿宋"/>
          <w:sz w:val="30"/>
          <w:szCs w:val="30"/>
        </w:rPr>
        <w:t>为依托，以市场监管和司法强制为屏障的</w:t>
      </w:r>
      <w:r>
        <w:rPr>
          <w:rFonts w:hint="eastAsia" w:ascii="仿宋" w:hAnsi="仿宋" w:eastAsia="仿宋"/>
          <w:sz w:val="30"/>
          <w:szCs w:val="30"/>
        </w:rPr>
        <w:t>篮</w:t>
      </w:r>
      <w:r>
        <w:rPr>
          <w:rFonts w:ascii="仿宋" w:hAnsi="仿宋" w:eastAsia="仿宋"/>
          <w:sz w:val="30"/>
          <w:szCs w:val="30"/>
        </w:rPr>
        <w:t>球行业监管系统，健全政府部门与行业协会联合监管机制。</w:t>
      </w:r>
    </w:p>
    <w:p w14:paraId="58224D1E">
      <w:pPr>
        <w:pStyle w:val="14"/>
        <w:autoSpaceDE/>
        <w:autoSpaceDN/>
        <w:spacing w:before="0" w:line="560" w:lineRule="exact"/>
        <w:ind w:left="0" w:firstLine="602" w:firstLineChars="200"/>
        <w:jc w:val="both"/>
        <w:rPr>
          <w:rFonts w:hint="eastAsia" w:ascii="仿宋" w:hAnsi="仿宋" w:eastAsia="仿宋" w:cs="PMingLiU"/>
          <w:b/>
          <w:bCs/>
          <w:sz w:val="30"/>
          <w:szCs w:val="30"/>
        </w:rPr>
      </w:pPr>
      <w:r>
        <w:rPr>
          <w:rFonts w:hint="eastAsia" w:ascii="仿宋" w:hAnsi="仿宋" w:eastAsia="仿宋" w:cs="PMingLiU"/>
          <w:b/>
          <w:bCs/>
          <w:sz w:val="30"/>
          <w:szCs w:val="30"/>
        </w:rPr>
        <w:t xml:space="preserve">第六条 </w:t>
      </w:r>
      <w:r>
        <w:rPr>
          <w:rFonts w:hint="eastAsia" w:ascii="仿宋" w:hAnsi="仿宋" w:eastAsia="仿宋" w:cs="PMingLiU"/>
          <w:b/>
          <w:bCs/>
          <w:sz w:val="30"/>
          <w:szCs w:val="30"/>
          <w:lang w:val="en-US" w:eastAsia="zh-CN"/>
        </w:rPr>
        <w:t>完善行业</w:t>
      </w:r>
      <w:r>
        <w:rPr>
          <w:rFonts w:hint="eastAsia" w:ascii="仿宋" w:hAnsi="仿宋" w:eastAsia="仿宋" w:cs="PMingLiU"/>
          <w:b/>
          <w:bCs/>
          <w:sz w:val="30"/>
          <w:szCs w:val="30"/>
        </w:rPr>
        <w:t>监管制度</w:t>
      </w:r>
    </w:p>
    <w:p w14:paraId="386ACA45">
      <w:pPr>
        <w:autoSpaceDE/>
        <w:autoSpaceDN/>
        <w:spacing w:line="560" w:lineRule="exact"/>
        <w:ind w:firstLine="600" w:firstLineChars="200"/>
        <w:jc w:val="both"/>
        <w:rPr>
          <w:rFonts w:cs="PMingLiU"/>
          <w:sz w:val="30"/>
          <w:szCs w:val="30"/>
        </w:rPr>
      </w:pPr>
      <w:r>
        <w:rPr>
          <w:rFonts w:cs="PMingLiU"/>
          <w:sz w:val="30"/>
          <w:szCs w:val="30"/>
        </w:rPr>
        <w:t>中国</w:t>
      </w:r>
      <w:r>
        <w:rPr>
          <w:rFonts w:hint="eastAsia" w:cs="PMingLiU"/>
          <w:sz w:val="30"/>
          <w:szCs w:val="30"/>
        </w:rPr>
        <w:t>篮协</w:t>
      </w:r>
      <w:r>
        <w:rPr>
          <w:rFonts w:cs="PMingLiU"/>
          <w:sz w:val="30"/>
          <w:szCs w:val="30"/>
        </w:rPr>
        <w:t>制定</w:t>
      </w:r>
      <w:r>
        <w:rPr>
          <w:rFonts w:hint="eastAsia" w:cs="PMingLiU"/>
          <w:sz w:val="30"/>
          <w:szCs w:val="30"/>
        </w:rPr>
        <w:t>篮</w:t>
      </w:r>
      <w:r>
        <w:rPr>
          <w:rFonts w:cs="PMingLiU"/>
          <w:sz w:val="30"/>
          <w:szCs w:val="30"/>
        </w:rPr>
        <w:t>球行业监管实施办法和配套制度，</w:t>
      </w:r>
      <w:r>
        <w:rPr>
          <w:rFonts w:hint="eastAsia" w:cs="华文仿宋"/>
          <w:color w:val="000000"/>
          <w:sz w:val="30"/>
          <w:szCs w:val="30"/>
        </w:rPr>
        <w:t>完善议事决策和监督制衡机制，</w:t>
      </w:r>
      <w:r>
        <w:rPr>
          <w:rFonts w:cs="PMingLiU"/>
          <w:sz w:val="30"/>
          <w:szCs w:val="30"/>
        </w:rPr>
        <w:t>形成以自律为基础，制度为保障，</w:t>
      </w:r>
      <w:r>
        <w:rPr>
          <w:rFonts w:hint="eastAsia" w:cs="PMingLiU"/>
          <w:sz w:val="30"/>
          <w:szCs w:val="30"/>
        </w:rPr>
        <w:t>行业规范为标准，</w:t>
      </w:r>
      <w:r>
        <w:rPr>
          <w:rFonts w:cs="PMingLiU"/>
          <w:sz w:val="30"/>
          <w:szCs w:val="30"/>
        </w:rPr>
        <w:t>多方监管为架构的</w:t>
      </w:r>
      <w:r>
        <w:rPr>
          <w:rFonts w:hint="eastAsia" w:cs="PMingLiU"/>
          <w:sz w:val="30"/>
          <w:szCs w:val="30"/>
        </w:rPr>
        <w:t>篮球行业</w:t>
      </w:r>
      <w:r>
        <w:rPr>
          <w:rFonts w:cs="PMingLiU"/>
          <w:sz w:val="30"/>
          <w:szCs w:val="30"/>
        </w:rPr>
        <w:t>监管格局</w:t>
      </w:r>
      <w:r>
        <w:rPr>
          <w:rFonts w:hint="eastAsia" w:cs="PMingLiU"/>
          <w:sz w:val="30"/>
          <w:szCs w:val="30"/>
        </w:rPr>
        <w:t>。</w:t>
      </w:r>
      <w:r>
        <w:rPr>
          <w:rFonts w:hint="eastAsia"/>
          <w:sz w:val="30"/>
          <w:szCs w:val="30"/>
        </w:rPr>
        <w:t>强化制度执行，用严明的制度和纪律管人管事，</w:t>
      </w:r>
      <w:r>
        <w:rPr>
          <w:rFonts w:cs="PMingLiU"/>
          <w:sz w:val="30"/>
          <w:szCs w:val="30"/>
        </w:rPr>
        <w:t>提升行业监管效能</w:t>
      </w:r>
      <w:r>
        <w:rPr>
          <w:rFonts w:hint="eastAsia" w:cs="PMingLiU"/>
          <w:sz w:val="30"/>
          <w:szCs w:val="30"/>
        </w:rPr>
        <w:t>。</w:t>
      </w:r>
      <w:r>
        <w:rPr>
          <w:rFonts w:hint="eastAsia" w:cs="华文仿宋"/>
          <w:color w:val="000000"/>
          <w:sz w:val="30"/>
          <w:szCs w:val="30"/>
        </w:rPr>
        <w:t>中国篮协负责对中国篮协认证和管辖的比赛</w:t>
      </w:r>
      <w:r>
        <w:rPr>
          <w:rFonts w:hint="eastAsia" w:cs="华文仿宋"/>
          <w:color w:val="000000"/>
          <w:sz w:val="30"/>
          <w:szCs w:val="30"/>
          <w:lang w:val="en-US" w:eastAsia="zh-CN"/>
        </w:rPr>
        <w:t>进行</w:t>
      </w:r>
      <w:r>
        <w:rPr>
          <w:rFonts w:hint="eastAsia" w:cs="华文仿宋"/>
          <w:color w:val="000000"/>
          <w:sz w:val="30"/>
          <w:szCs w:val="30"/>
        </w:rPr>
        <w:t>监管工作</w:t>
      </w:r>
      <w:r>
        <w:rPr>
          <w:rFonts w:hint="eastAsia" w:cs="华文仿宋"/>
          <w:color w:val="000000"/>
          <w:sz w:val="30"/>
          <w:szCs w:val="30"/>
          <w:lang w:eastAsia="zh-CN"/>
        </w:rPr>
        <w:t>，</w:t>
      </w:r>
      <w:r>
        <w:rPr>
          <w:rFonts w:hint="eastAsia" w:cs="PMingLiU"/>
          <w:sz w:val="30"/>
          <w:szCs w:val="30"/>
        </w:rPr>
        <w:t>对</w:t>
      </w:r>
      <w:r>
        <w:rPr>
          <w:rFonts w:cs="PMingLiU"/>
          <w:sz w:val="30"/>
          <w:szCs w:val="30"/>
        </w:rPr>
        <w:t>职业联赛</w:t>
      </w:r>
      <w:r>
        <w:rPr>
          <w:rFonts w:hint="eastAsia" w:cs="PMingLiU"/>
          <w:sz w:val="30"/>
          <w:szCs w:val="30"/>
        </w:rPr>
        <w:t>监管</w:t>
      </w:r>
      <w:r>
        <w:rPr>
          <w:rFonts w:hint="eastAsia" w:cs="PMingLiU"/>
          <w:sz w:val="30"/>
          <w:szCs w:val="30"/>
          <w:lang w:val="en-US" w:eastAsia="zh-CN"/>
        </w:rPr>
        <w:t>工作进行</w:t>
      </w:r>
      <w:r>
        <w:rPr>
          <w:rFonts w:cs="PMingLiU"/>
          <w:sz w:val="30"/>
          <w:szCs w:val="30"/>
        </w:rPr>
        <w:t>研究</w:t>
      </w:r>
      <w:r>
        <w:rPr>
          <w:rFonts w:hint="eastAsia" w:cs="PMingLiU"/>
          <w:sz w:val="30"/>
          <w:szCs w:val="30"/>
          <w:lang w:eastAsia="zh-CN"/>
        </w:rPr>
        <w:t>，</w:t>
      </w:r>
      <w:r>
        <w:rPr>
          <w:rFonts w:cs="PMingLiU"/>
          <w:sz w:val="30"/>
          <w:szCs w:val="30"/>
        </w:rPr>
        <w:t>设立</w:t>
      </w:r>
      <w:r>
        <w:rPr>
          <w:rFonts w:hint="eastAsia" w:cs="PMingLiU"/>
          <w:sz w:val="30"/>
          <w:szCs w:val="30"/>
        </w:rPr>
        <w:t>专门</w:t>
      </w:r>
      <w:r>
        <w:rPr>
          <w:rFonts w:hint="eastAsia" w:cs="PMingLiU"/>
          <w:sz w:val="30"/>
          <w:szCs w:val="30"/>
          <w:lang w:val="en-US" w:eastAsia="zh-CN"/>
        </w:rPr>
        <w:t>的</w:t>
      </w:r>
      <w:r>
        <w:rPr>
          <w:rFonts w:cs="PMingLiU"/>
          <w:sz w:val="30"/>
          <w:szCs w:val="30"/>
        </w:rPr>
        <w:t>监</w:t>
      </w:r>
      <w:r>
        <w:rPr>
          <w:rFonts w:hint="eastAsia" w:cs="PMingLiU"/>
          <w:sz w:val="30"/>
          <w:szCs w:val="30"/>
        </w:rPr>
        <w:t>管</w:t>
      </w:r>
      <w:r>
        <w:rPr>
          <w:rFonts w:cs="PMingLiU"/>
          <w:sz w:val="30"/>
          <w:szCs w:val="30"/>
        </w:rPr>
        <w:t>制度</w:t>
      </w:r>
      <w:r>
        <w:rPr>
          <w:rFonts w:hint="eastAsia" w:cs="PMingLiU"/>
          <w:sz w:val="30"/>
          <w:szCs w:val="30"/>
        </w:rPr>
        <w:t>。</w:t>
      </w:r>
    </w:p>
    <w:p w14:paraId="4D4BBA44">
      <w:pPr>
        <w:numPr>
          <w:ilvl w:val="255"/>
          <w:numId w:val="0"/>
        </w:numPr>
        <w:autoSpaceDE/>
        <w:autoSpaceDN/>
        <w:spacing w:line="560" w:lineRule="exact"/>
        <w:ind w:firstLine="602" w:firstLineChars="200"/>
        <w:jc w:val="both"/>
        <w:rPr>
          <w:rFonts w:cs="华文仿宋"/>
          <w:b/>
          <w:color w:val="000000"/>
          <w:sz w:val="30"/>
          <w:szCs w:val="30"/>
        </w:rPr>
      </w:pPr>
      <w:r>
        <w:rPr>
          <w:rFonts w:hint="eastAsia" w:cs="华文仿宋"/>
          <w:b/>
          <w:color w:val="000000"/>
          <w:sz w:val="30"/>
          <w:szCs w:val="30"/>
        </w:rPr>
        <w:t>第七条 完善多维监管机制。</w:t>
      </w:r>
    </w:p>
    <w:p w14:paraId="7C88E967">
      <w:pPr>
        <w:autoSpaceDE/>
        <w:autoSpaceDN/>
        <w:spacing w:line="560" w:lineRule="exact"/>
        <w:ind w:firstLine="600" w:firstLineChars="200"/>
        <w:jc w:val="both"/>
        <w:rPr>
          <w:rFonts w:hint="eastAsia" w:cs="华文仿宋"/>
          <w:color w:val="000000"/>
          <w:sz w:val="30"/>
          <w:szCs w:val="30"/>
        </w:rPr>
      </w:pPr>
      <w:r>
        <w:rPr>
          <w:rFonts w:hint="eastAsia" w:cs="华文仿宋"/>
          <w:color w:val="000000"/>
          <w:sz w:val="30"/>
          <w:szCs w:val="30"/>
        </w:rPr>
        <w:t>强化道德与纪律委员会、纠纷解决委员会、裁判员委员会等专项委员会规范化建设，织牢织密地方篮球管理部门、会员单位和职业篮球领域纪律约束网格，形成上下贯通的监管机制</w:t>
      </w:r>
      <w:r>
        <w:rPr>
          <w:rFonts w:hint="eastAsia" w:cs="华文仿宋"/>
          <w:color w:val="000000"/>
          <w:sz w:val="30"/>
          <w:szCs w:val="30"/>
          <w:lang w:eastAsia="zh-CN"/>
        </w:rPr>
        <w:t>，</w:t>
      </w:r>
      <w:r>
        <w:rPr>
          <w:rFonts w:hint="eastAsia" w:cs="华文仿宋"/>
          <w:color w:val="000000"/>
          <w:sz w:val="30"/>
          <w:szCs w:val="30"/>
        </w:rPr>
        <w:t>深化运用监督执纪“四种形态”。</w:t>
      </w:r>
    </w:p>
    <w:p w14:paraId="23D4DBFB">
      <w:pPr>
        <w:autoSpaceDE/>
        <w:autoSpaceDN/>
        <w:spacing w:line="560" w:lineRule="exact"/>
        <w:ind w:firstLine="600" w:firstLineChars="200"/>
        <w:jc w:val="both"/>
        <w:rPr>
          <w:rFonts w:cs="华文仿宋"/>
          <w:color w:val="000000"/>
          <w:sz w:val="30"/>
          <w:szCs w:val="30"/>
        </w:rPr>
      </w:pPr>
      <w:r>
        <w:rPr>
          <w:rFonts w:hint="eastAsia" w:cs="华文仿宋"/>
          <w:color w:val="000000"/>
          <w:sz w:val="30"/>
          <w:szCs w:val="30"/>
        </w:rPr>
        <w:t>公布举报渠道</w:t>
      </w:r>
      <w:r>
        <w:rPr>
          <w:rFonts w:hint="eastAsia" w:cs="华文仿宋"/>
          <w:color w:val="000000"/>
          <w:sz w:val="30"/>
          <w:szCs w:val="30"/>
          <w:lang w:eastAsia="zh-CN"/>
        </w:rPr>
        <w:t>（</w:t>
      </w:r>
      <w:r>
        <w:rPr>
          <w:rFonts w:hint="eastAsia" w:cs="华文仿宋"/>
          <w:color w:val="000000"/>
          <w:sz w:val="30"/>
          <w:szCs w:val="30"/>
          <w:lang w:val="en-US" w:eastAsia="zh-CN"/>
        </w:rPr>
        <w:t>举报电话和邮箱</w:t>
      </w:r>
      <w:r>
        <w:rPr>
          <w:rFonts w:hint="eastAsia" w:cs="华文仿宋"/>
          <w:color w:val="000000"/>
          <w:sz w:val="30"/>
          <w:szCs w:val="30"/>
          <w:lang w:eastAsia="zh-CN"/>
        </w:rPr>
        <w:t>）</w:t>
      </w:r>
      <w:r>
        <w:rPr>
          <w:rFonts w:hint="eastAsia" w:cs="华文仿宋"/>
          <w:color w:val="000000"/>
          <w:sz w:val="30"/>
          <w:szCs w:val="30"/>
        </w:rPr>
        <w:t>，加强社情民意跟踪和舆情反馈</w:t>
      </w:r>
      <w:r>
        <w:rPr>
          <w:rFonts w:hint="eastAsia" w:cs="华文仿宋"/>
          <w:color w:val="000000"/>
          <w:sz w:val="30"/>
          <w:szCs w:val="30"/>
          <w:lang w:eastAsia="zh-CN"/>
        </w:rPr>
        <w:t>。</w:t>
      </w:r>
      <w:r>
        <w:rPr>
          <w:rFonts w:hint="eastAsia" w:cs="华文仿宋"/>
          <w:color w:val="000000"/>
          <w:sz w:val="30"/>
          <w:szCs w:val="30"/>
        </w:rPr>
        <w:t>积极引入信息技术服务机构、会计律师事务所等第三方社会力量参与篮球监管，提升监管的专业性、精准性和有效性。运用大数据分析等信息化手段，提升对假球赌球等行为的预判和风险防控能力。</w:t>
      </w:r>
      <w:r>
        <w:rPr>
          <w:rFonts w:hint="eastAsia" w:ascii="仿宋" w:hAnsi="仿宋" w:eastAsia="仿宋"/>
          <w:sz w:val="30"/>
          <w:szCs w:val="30"/>
          <w:lang w:val="en-US" w:eastAsia="zh-CN"/>
        </w:rPr>
        <w:t>各方</w:t>
      </w:r>
      <w:r>
        <w:rPr>
          <w:rFonts w:hint="eastAsia" w:ascii="仿宋" w:hAnsi="仿宋" w:eastAsia="仿宋"/>
          <w:sz w:val="30"/>
          <w:szCs w:val="30"/>
        </w:rPr>
        <w:t>可</w:t>
      </w:r>
      <w:r>
        <w:rPr>
          <w:rFonts w:hint="eastAsia"/>
          <w:sz w:val="30"/>
          <w:szCs w:val="30"/>
          <w:lang w:val="en-US" w:eastAsia="zh-CN"/>
        </w:rPr>
        <w:t>视情</w:t>
      </w:r>
      <w:r>
        <w:rPr>
          <w:rFonts w:hint="eastAsia" w:ascii="仿宋" w:hAnsi="仿宋" w:eastAsia="仿宋"/>
          <w:sz w:val="30"/>
          <w:szCs w:val="30"/>
        </w:rPr>
        <w:t>联合组建XX</w:t>
      </w:r>
      <w:r>
        <w:rPr>
          <w:rFonts w:hint="eastAsia" w:ascii="仿宋" w:hAnsi="仿宋" w:eastAsia="仿宋" w:cs="华文仿宋"/>
          <w:color w:val="000000"/>
          <w:sz w:val="30"/>
          <w:szCs w:val="30"/>
        </w:rPr>
        <w:t>赛事监督组，</w:t>
      </w:r>
      <w:r>
        <w:rPr>
          <w:rFonts w:hint="eastAsia" w:cs="华文仿宋"/>
          <w:color w:val="000000"/>
          <w:sz w:val="30"/>
          <w:szCs w:val="30"/>
        </w:rPr>
        <w:t>选派</w:t>
      </w:r>
      <w:r>
        <w:rPr>
          <w:rFonts w:hint="eastAsia" w:cs="华文仿宋"/>
          <w:b w:val="0"/>
          <w:color w:val="000000"/>
          <w:sz w:val="30"/>
          <w:szCs w:val="30"/>
        </w:rPr>
        <w:t>监察专员</w:t>
      </w:r>
      <w:r>
        <w:rPr>
          <w:rFonts w:hint="eastAsia" w:cs="华文仿宋"/>
          <w:color w:val="000000"/>
          <w:sz w:val="30"/>
          <w:szCs w:val="30"/>
          <w:lang w:val="en-US" w:eastAsia="zh-CN"/>
        </w:rPr>
        <w:t>，</w:t>
      </w:r>
      <w:r>
        <w:rPr>
          <w:rFonts w:hint="eastAsia" w:ascii="仿宋" w:hAnsi="仿宋" w:eastAsia="仿宋" w:cs="华文仿宋"/>
          <w:color w:val="000000"/>
          <w:sz w:val="30"/>
          <w:szCs w:val="30"/>
        </w:rPr>
        <w:t>对各单位各赛区履职尽责工作进行不定期监督检查，</w:t>
      </w:r>
      <w:r>
        <w:rPr>
          <w:rFonts w:hint="eastAsia" w:cs="华文仿宋"/>
          <w:color w:val="000000"/>
          <w:sz w:val="30"/>
          <w:szCs w:val="30"/>
          <w:lang w:val="en-US" w:eastAsia="zh-CN"/>
        </w:rPr>
        <w:t>多维</w:t>
      </w:r>
      <w:r>
        <w:rPr>
          <w:rFonts w:hint="eastAsia" w:ascii="仿宋" w:hAnsi="仿宋" w:eastAsia="仿宋" w:cs="华文仿宋"/>
          <w:color w:val="000000"/>
          <w:sz w:val="30"/>
          <w:szCs w:val="30"/>
        </w:rPr>
        <w:t>实</w:t>
      </w:r>
      <w:r>
        <w:rPr>
          <w:rFonts w:hint="eastAsia" w:ascii="仿宋" w:hAnsi="仿宋" w:eastAsia="仿宋"/>
          <w:sz w:val="30"/>
          <w:szCs w:val="30"/>
        </w:rPr>
        <w:t>施监管工作</w:t>
      </w:r>
      <w:r>
        <w:rPr>
          <w:rFonts w:hint="eastAsia"/>
          <w:sz w:val="30"/>
          <w:szCs w:val="30"/>
          <w:lang w:eastAsia="zh-CN"/>
        </w:rPr>
        <w:t>，</w:t>
      </w:r>
      <w:r>
        <w:rPr>
          <w:rFonts w:hint="eastAsia"/>
          <w:sz w:val="30"/>
          <w:szCs w:val="30"/>
          <w:lang w:val="en-US" w:eastAsia="zh-CN"/>
        </w:rPr>
        <w:t>确保赛事依规进行</w:t>
      </w:r>
      <w:r>
        <w:rPr>
          <w:rFonts w:ascii="仿宋" w:hAnsi="仿宋" w:eastAsia="仿宋"/>
          <w:sz w:val="30"/>
          <w:szCs w:val="30"/>
        </w:rPr>
        <w:t>。</w:t>
      </w:r>
    </w:p>
    <w:p w14:paraId="3BACA21E">
      <w:pPr>
        <w:numPr>
          <w:ilvl w:val="255"/>
          <w:numId w:val="0"/>
        </w:numPr>
        <w:autoSpaceDE/>
        <w:autoSpaceDN/>
        <w:spacing w:line="560" w:lineRule="exact"/>
        <w:ind w:firstLine="602" w:firstLineChars="200"/>
        <w:jc w:val="both"/>
        <w:rPr>
          <w:b/>
          <w:bCs/>
          <w:color w:val="000000" w:themeColor="text1"/>
          <w:sz w:val="30"/>
          <w:szCs w:val="30"/>
          <w14:textFill>
            <w14:solidFill>
              <w14:schemeClr w14:val="tx1"/>
            </w14:solidFill>
          </w14:textFill>
        </w:rPr>
      </w:pPr>
      <w:r>
        <w:rPr>
          <w:rFonts w:hint="eastAsia" w:cs="华文仿宋"/>
          <w:b/>
          <w:color w:val="000000"/>
          <w:sz w:val="30"/>
          <w:szCs w:val="30"/>
        </w:rPr>
        <w:t>第九条 赛事监管工作组的职责</w:t>
      </w:r>
    </w:p>
    <w:p w14:paraId="256B26B2">
      <w:pPr>
        <w:autoSpaceDE/>
        <w:autoSpaceDN/>
        <w:spacing w:line="560" w:lineRule="exact"/>
        <w:ind w:firstLine="600" w:firstLineChars="200"/>
        <w:jc w:val="both"/>
        <w:rPr>
          <w:rFonts w:cs="华文仿宋"/>
          <w:color w:val="000000"/>
          <w:sz w:val="30"/>
          <w:szCs w:val="30"/>
        </w:rPr>
      </w:pPr>
      <w:r>
        <w:rPr>
          <w:rFonts w:hint="eastAsia" w:cs="华文仿宋"/>
          <w:color w:val="000000"/>
          <w:sz w:val="30"/>
          <w:szCs w:val="30"/>
        </w:rPr>
        <w:t>根据赛事（联赛）等具体需要，赛事主管主办单位可在赛前成立监管工作组，设立组长和组员若干名，职责如下：</w:t>
      </w:r>
    </w:p>
    <w:p w14:paraId="040BF8A8">
      <w:pPr>
        <w:numPr>
          <w:ilvl w:val="255"/>
          <w:numId w:val="0"/>
        </w:numPr>
        <w:autoSpaceDE/>
        <w:autoSpaceDN/>
        <w:spacing w:line="560" w:lineRule="exact"/>
        <w:ind w:firstLine="600" w:firstLineChars="200"/>
        <w:jc w:val="both"/>
        <w:rPr>
          <w:rFonts w:cs="华文仿宋"/>
          <w:color w:val="000000"/>
          <w:sz w:val="30"/>
          <w:szCs w:val="30"/>
        </w:rPr>
      </w:pPr>
      <w:r>
        <w:rPr>
          <w:rFonts w:hint="eastAsia" w:cs="华文仿宋"/>
          <w:color w:val="000000"/>
          <w:sz w:val="30"/>
          <w:szCs w:val="30"/>
        </w:rPr>
        <w:t>（一）执行国家体育总局、中国篮协和赛事组委会对所主办（主管）赛事在赛前、赛中、赛后的程序规范和</w:t>
      </w:r>
      <w:r>
        <w:rPr>
          <w:rFonts w:hint="eastAsia" w:cs="华文仿宋"/>
          <w:color w:val="000000"/>
          <w:sz w:val="30"/>
          <w:szCs w:val="30"/>
          <w:lang w:val="en-US" w:eastAsia="zh-CN"/>
        </w:rPr>
        <w:t>监管规定</w:t>
      </w:r>
      <w:r>
        <w:rPr>
          <w:rFonts w:hint="eastAsia" w:cs="华文仿宋"/>
          <w:color w:val="000000"/>
          <w:sz w:val="30"/>
          <w:szCs w:val="30"/>
        </w:rPr>
        <w:t>。</w:t>
      </w:r>
    </w:p>
    <w:p w14:paraId="125A9C64">
      <w:pPr>
        <w:autoSpaceDE/>
        <w:autoSpaceDN/>
        <w:spacing w:line="560" w:lineRule="exact"/>
        <w:ind w:firstLine="600" w:firstLineChars="200"/>
        <w:jc w:val="both"/>
        <w:rPr>
          <w:rFonts w:hint="eastAsia" w:cs="华文仿宋"/>
          <w:color w:val="000000"/>
          <w:sz w:val="30"/>
          <w:szCs w:val="30"/>
        </w:rPr>
      </w:pPr>
      <w:r>
        <w:rPr>
          <w:rFonts w:hint="eastAsia" w:cs="华文仿宋"/>
          <w:color w:val="000000"/>
          <w:sz w:val="30"/>
          <w:szCs w:val="30"/>
        </w:rPr>
        <w:t>（二）监管赛事举办方</w:t>
      </w:r>
      <w:r>
        <w:rPr>
          <w:rFonts w:hint="eastAsia" w:cs="华文仿宋"/>
          <w:color w:val="000000"/>
          <w:sz w:val="30"/>
          <w:szCs w:val="30"/>
          <w:lang w:eastAsia="zh-CN"/>
        </w:rPr>
        <w:t>（</w:t>
      </w:r>
      <w:r>
        <w:rPr>
          <w:rFonts w:hint="eastAsia" w:cs="华文仿宋"/>
          <w:color w:val="000000"/>
          <w:sz w:val="30"/>
          <w:szCs w:val="30"/>
          <w:lang w:val="en-US" w:eastAsia="zh-CN"/>
        </w:rPr>
        <w:t>各赛区</w:t>
      </w:r>
      <w:r>
        <w:rPr>
          <w:rFonts w:hint="eastAsia" w:cs="华文仿宋"/>
          <w:color w:val="000000"/>
          <w:sz w:val="30"/>
          <w:szCs w:val="30"/>
          <w:lang w:eastAsia="zh-CN"/>
        </w:rPr>
        <w:t>）</w:t>
      </w:r>
      <w:r>
        <w:rPr>
          <w:rFonts w:hint="eastAsia" w:cs="华文仿宋"/>
          <w:color w:val="000000"/>
          <w:sz w:val="30"/>
          <w:szCs w:val="30"/>
        </w:rPr>
        <w:t>是否按照</w:t>
      </w:r>
      <w:r>
        <w:rPr>
          <w:rFonts w:hint="eastAsia" w:cs="华文仿宋"/>
          <w:color w:val="000000"/>
          <w:sz w:val="30"/>
          <w:szCs w:val="30"/>
          <w:lang w:val="en-US" w:eastAsia="zh-CN"/>
        </w:rPr>
        <w:t>国家体育总局和</w:t>
      </w:r>
      <w:r>
        <w:rPr>
          <w:rFonts w:hint="eastAsia" w:cs="华文仿宋"/>
          <w:color w:val="000000"/>
          <w:sz w:val="30"/>
          <w:szCs w:val="30"/>
        </w:rPr>
        <w:t>主办方印发的各项制度和规定进行赛事运营，</w:t>
      </w:r>
      <w:r>
        <w:rPr>
          <w:rFonts w:hint="eastAsia" w:cs="华文仿宋"/>
          <w:color w:val="000000"/>
          <w:sz w:val="30"/>
          <w:szCs w:val="30"/>
          <w:lang w:val="en-US" w:eastAsia="zh-CN"/>
        </w:rPr>
        <w:t>选派比赛监督赴赛区，</w:t>
      </w:r>
      <w:r>
        <w:rPr>
          <w:rFonts w:hint="eastAsia" w:cs="华文仿宋"/>
          <w:color w:val="000000"/>
          <w:sz w:val="30"/>
          <w:szCs w:val="30"/>
        </w:rPr>
        <w:t>尤其侧重赛事安全和赛风赛纪等</w:t>
      </w:r>
      <w:r>
        <w:rPr>
          <w:rFonts w:hint="eastAsia" w:cs="华文仿宋"/>
          <w:color w:val="000000"/>
          <w:sz w:val="30"/>
          <w:szCs w:val="30"/>
          <w:lang w:val="en-US" w:eastAsia="zh-CN"/>
        </w:rPr>
        <w:t>监管</w:t>
      </w:r>
      <w:r>
        <w:rPr>
          <w:rFonts w:hint="eastAsia" w:cs="华文仿宋"/>
          <w:color w:val="000000"/>
          <w:sz w:val="30"/>
          <w:szCs w:val="30"/>
        </w:rPr>
        <w:t>工作。纠正</w:t>
      </w:r>
      <w:r>
        <w:rPr>
          <w:rFonts w:hint="eastAsia"/>
          <w:sz w:val="30"/>
          <w:szCs w:val="30"/>
        </w:rPr>
        <w:t>不正之风，</w:t>
      </w:r>
      <w:r>
        <w:rPr>
          <w:rFonts w:hint="eastAsia" w:cs="华文仿宋"/>
          <w:color w:val="000000"/>
          <w:sz w:val="30"/>
          <w:szCs w:val="30"/>
        </w:rPr>
        <w:t>维护公平竞赛。协调各方决定是否启动“熔断”机制。</w:t>
      </w:r>
    </w:p>
    <w:p w14:paraId="5BB3E892">
      <w:pPr>
        <w:autoSpaceDE/>
        <w:autoSpaceDN/>
        <w:spacing w:line="560" w:lineRule="exact"/>
        <w:ind w:firstLine="600" w:firstLineChars="200"/>
        <w:jc w:val="both"/>
        <w:rPr>
          <w:rFonts w:cs="华文仿宋"/>
          <w:color w:val="000000"/>
          <w:sz w:val="30"/>
          <w:szCs w:val="30"/>
        </w:rPr>
      </w:pPr>
      <w:r>
        <w:rPr>
          <w:rFonts w:hint="eastAsia" w:cs="华文仿宋"/>
          <w:color w:val="000000"/>
          <w:sz w:val="30"/>
          <w:szCs w:val="30"/>
        </w:rPr>
        <w:t>（</w:t>
      </w:r>
      <w:r>
        <w:rPr>
          <w:rFonts w:hint="eastAsia" w:cs="华文仿宋"/>
          <w:color w:val="000000"/>
          <w:sz w:val="30"/>
          <w:szCs w:val="30"/>
          <w:lang w:val="en-US" w:eastAsia="zh-CN"/>
        </w:rPr>
        <w:t>三</w:t>
      </w:r>
      <w:r>
        <w:rPr>
          <w:rFonts w:hint="eastAsia" w:cs="华文仿宋"/>
          <w:color w:val="000000"/>
          <w:sz w:val="30"/>
          <w:szCs w:val="30"/>
        </w:rPr>
        <w:t>）</w:t>
      </w:r>
      <w:r>
        <w:rPr>
          <w:rFonts w:hint="eastAsia" w:cs="华文仿宋"/>
          <w:color w:val="000000"/>
          <w:sz w:val="30"/>
          <w:szCs w:val="30"/>
          <w:lang w:val="en-US" w:eastAsia="zh-CN"/>
        </w:rPr>
        <w:t>根据举报和舆情等线索，</w:t>
      </w:r>
      <w:r>
        <w:rPr>
          <w:rFonts w:hint="eastAsia" w:cs="华文仿宋"/>
          <w:color w:val="000000"/>
          <w:sz w:val="30"/>
          <w:szCs w:val="30"/>
        </w:rPr>
        <w:t>监督赛事举办方处理赛事争议事件时的流程与规范，并对处理结果和申诉情况进行备案。</w:t>
      </w:r>
    </w:p>
    <w:p w14:paraId="3041A98C">
      <w:pPr>
        <w:autoSpaceDE/>
        <w:autoSpaceDN/>
        <w:spacing w:line="560" w:lineRule="exact"/>
        <w:ind w:firstLine="600" w:firstLineChars="200"/>
        <w:jc w:val="both"/>
        <w:rPr>
          <w:rFonts w:hint="eastAsia" w:ascii="&amp;quot" w:hAnsi="&amp;quot"/>
          <w:color w:val="333333"/>
          <w:sz w:val="30"/>
          <w:szCs w:val="30"/>
        </w:rPr>
      </w:pPr>
      <w:r>
        <w:rPr>
          <w:rFonts w:hint="eastAsia" w:cs="华文仿宋"/>
          <w:color w:val="000000"/>
          <w:sz w:val="30"/>
          <w:szCs w:val="30"/>
        </w:rPr>
        <w:t>（</w:t>
      </w:r>
      <w:r>
        <w:rPr>
          <w:rFonts w:hint="eastAsia" w:cs="华文仿宋"/>
          <w:color w:val="000000"/>
          <w:sz w:val="30"/>
          <w:szCs w:val="30"/>
          <w:lang w:val="en-US" w:eastAsia="zh-CN"/>
        </w:rPr>
        <w:t>四</w:t>
      </w:r>
      <w:r>
        <w:rPr>
          <w:rFonts w:hint="eastAsia" w:cs="华文仿宋"/>
          <w:color w:val="000000"/>
          <w:sz w:val="30"/>
          <w:szCs w:val="30"/>
        </w:rPr>
        <w:t>）研究处理赛事监管工作中的其他事项。</w:t>
      </w:r>
    </w:p>
    <w:p w14:paraId="6B1C101A">
      <w:pPr>
        <w:pStyle w:val="14"/>
        <w:spacing w:before="0" w:line="560" w:lineRule="exact"/>
        <w:ind w:left="0" w:firstLine="0"/>
        <w:jc w:val="center"/>
        <w:rPr>
          <w:rFonts w:ascii="黑体" w:hAnsi="黑体" w:eastAsia="黑体"/>
          <w:sz w:val="30"/>
          <w:szCs w:val="30"/>
        </w:rPr>
      </w:pPr>
    </w:p>
    <w:p w14:paraId="197C6B1E">
      <w:pPr>
        <w:pStyle w:val="14"/>
        <w:spacing w:before="0" w:line="560" w:lineRule="exact"/>
        <w:ind w:left="0" w:firstLine="0"/>
        <w:jc w:val="center"/>
        <w:rPr>
          <w:rFonts w:ascii="黑体" w:hAnsi="黑体" w:eastAsia="黑体"/>
          <w:sz w:val="30"/>
          <w:szCs w:val="30"/>
        </w:rPr>
      </w:pPr>
      <w:r>
        <w:rPr>
          <w:rFonts w:hint="eastAsia" w:ascii="黑体" w:hAnsi="黑体" w:eastAsia="黑体" w:cs="仿宋"/>
          <w:sz w:val="32"/>
          <w:szCs w:val="32"/>
        </w:rPr>
        <w:t>第三章  监督内容</w:t>
      </w:r>
    </w:p>
    <w:p w14:paraId="4B1E330A">
      <w:pPr>
        <w:pStyle w:val="7"/>
        <w:spacing w:before="0" w:beforeAutospacing="0" w:after="0" w:afterAutospacing="0" w:line="560" w:lineRule="exact"/>
        <w:ind w:firstLine="602" w:firstLineChars="200"/>
        <w:rPr>
          <w:rFonts w:hint="eastAsia" w:ascii="&amp;quot" w:hAnsi="&amp;quot"/>
          <w:color w:val="333333"/>
          <w:sz w:val="30"/>
          <w:szCs w:val="30"/>
        </w:rPr>
      </w:pPr>
      <w:r>
        <w:rPr>
          <w:rFonts w:hint="eastAsia"/>
          <w:b/>
          <w:bCs/>
          <w:color w:val="000000" w:themeColor="text1"/>
          <w:sz w:val="30"/>
          <w:szCs w:val="30"/>
          <w14:textFill>
            <w14:solidFill>
              <w14:schemeClr w14:val="tx1"/>
            </w14:solidFill>
          </w14:textFill>
        </w:rPr>
        <w:t xml:space="preserve">    </w:t>
      </w:r>
    </w:p>
    <w:p w14:paraId="049F8E28">
      <w:pPr>
        <w:pStyle w:val="7"/>
        <w:autoSpaceDE/>
        <w:autoSpaceDN/>
        <w:spacing w:before="0" w:beforeAutospacing="0" w:after="0" w:afterAutospacing="0" w:line="560" w:lineRule="exact"/>
        <w:ind w:firstLine="602" w:firstLineChars="200"/>
        <w:jc w:val="both"/>
        <w:rPr>
          <w:rFonts w:asciiTheme="minorHAnsi" w:hAnsiTheme="minorHAnsi" w:eastAsiaTheme="minorEastAsia" w:cstheme="minorBidi"/>
          <w:b/>
          <w:bCs/>
          <w:kern w:val="2"/>
          <w:sz w:val="30"/>
          <w:szCs w:val="30"/>
        </w:rPr>
      </w:pPr>
      <w:r>
        <w:rPr>
          <w:rFonts w:hint="eastAsia" w:asciiTheme="minorHAnsi" w:hAnsiTheme="minorHAnsi" w:eastAsiaTheme="minorEastAsia" w:cstheme="minorBidi"/>
          <w:b/>
          <w:bCs/>
          <w:kern w:val="2"/>
          <w:sz w:val="30"/>
          <w:szCs w:val="30"/>
        </w:rPr>
        <w:t xml:space="preserve">  </w:t>
      </w:r>
      <w:r>
        <w:rPr>
          <w:rFonts w:hint="eastAsia" w:ascii="仿宋" w:hAnsi="仿宋" w:cs="华文仿宋"/>
          <w:b/>
          <w:color w:val="000000"/>
          <w:sz w:val="30"/>
          <w:szCs w:val="30"/>
        </w:rPr>
        <w:t>第十条 监管依据</w:t>
      </w:r>
      <w:r>
        <w:rPr>
          <w:rFonts w:hint="eastAsia" w:asciiTheme="minorHAnsi" w:hAnsiTheme="minorHAnsi" w:eastAsiaTheme="minorEastAsia" w:cstheme="minorBidi"/>
          <w:b/>
          <w:bCs/>
          <w:kern w:val="2"/>
          <w:sz w:val="30"/>
          <w:szCs w:val="30"/>
        </w:rPr>
        <w:t xml:space="preserve"> </w:t>
      </w:r>
    </w:p>
    <w:p w14:paraId="468514C3">
      <w:pPr>
        <w:autoSpaceDE/>
        <w:autoSpaceDN/>
        <w:spacing w:line="560" w:lineRule="exact"/>
        <w:ind w:firstLine="600" w:firstLineChars="200"/>
        <w:jc w:val="both"/>
        <w:rPr>
          <w:rFonts w:cs="华文仿宋"/>
          <w:color w:val="000000"/>
          <w:sz w:val="30"/>
          <w:szCs w:val="30"/>
        </w:rPr>
      </w:pPr>
      <w:r>
        <w:rPr>
          <w:rFonts w:hint="eastAsia" w:cs="华文仿宋"/>
          <w:color w:val="000000"/>
          <w:sz w:val="30"/>
          <w:szCs w:val="30"/>
        </w:rPr>
        <w:t>举办方和参赛单位须遵循《体育赛事活动管理办法》《关于进一步加强体育赛事活动安全监管服务的意见》《体育赛事赛风赛纪管理办法》等国</w:t>
      </w:r>
      <w:r>
        <w:rPr>
          <w:rFonts w:hint="eastAsia" w:cs="华文仿宋"/>
          <w:color w:val="000000"/>
          <w:sz w:val="30"/>
          <w:szCs w:val="30"/>
          <w:lang w:val="en-US" w:eastAsia="zh-CN"/>
        </w:rPr>
        <w:t>家</w:t>
      </w:r>
      <w:r>
        <w:rPr>
          <w:rFonts w:hint="eastAsia" w:cs="华文仿宋"/>
          <w:color w:val="000000"/>
          <w:sz w:val="30"/>
          <w:szCs w:val="30"/>
        </w:rPr>
        <w:t>体育总局印发</w:t>
      </w:r>
      <w:r>
        <w:rPr>
          <w:rFonts w:hint="eastAsia" w:cs="华文仿宋"/>
          <w:color w:val="000000"/>
          <w:sz w:val="30"/>
          <w:szCs w:val="30"/>
          <w:lang w:val="en-US" w:eastAsia="zh-CN"/>
        </w:rPr>
        <w:t>的</w:t>
      </w:r>
      <w:r>
        <w:rPr>
          <w:rFonts w:hint="eastAsia" w:cs="华文仿宋"/>
          <w:color w:val="000000"/>
          <w:sz w:val="30"/>
          <w:szCs w:val="30"/>
        </w:rPr>
        <w:t>管理规定，以及中国篮协印发《中国篮球协会赛事活动管理办法暨实施细则》《中国篮球协会赛事活动赛风赛纪管理办法》《中国篮球协会赛事活动安全工作规定》</w:t>
      </w:r>
      <w:r>
        <w:rPr>
          <w:rFonts w:hint="eastAsia" w:cs="华文仿宋"/>
          <w:color w:val="000000"/>
          <w:sz w:val="30"/>
          <w:szCs w:val="30"/>
          <w:lang w:eastAsia="zh-CN"/>
        </w:rPr>
        <w:t>《</w:t>
      </w:r>
      <w:r>
        <w:rPr>
          <w:rFonts w:hint="eastAsia" w:cs="华文仿宋"/>
          <w:color w:val="000000"/>
          <w:sz w:val="30"/>
          <w:szCs w:val="30"/>
          <w:lang w:val="en-US" w:eastAsia="zh-CN"/>
        </w:rPr>
        <w:t>XX联赛手册</w:t>
      </w:r>
      <w:r>
        <w:rPr>
          <w:rFonts w:hint="eastAsia" w:cs="华文仿宋"/>
          <w:color w:val="000000"/>
          <w:sz w:val="30"/>
          <w:szCs w:val="30"/>
          <w:lang w:eastAsia="zh-CN"/>
        </w:rPr>
        <w:t>》</w:t>
      </w:r>
      <w:r>
        <w:rPr>
          <w:rFonts w:hint="eastAsia" w:cs="华文仿宋"/>
          <w:color w:val="000000"/>
          <w:sz w:val="30"/>
          <w:szCs w:val="30"/>
        </w:rPr>
        <w:t>等相关管理规定，并包括将中国篮协不时制订、修订、批准的各项制度、标准，作为赛事或项目的基本制度性文件（包括作为基本管理规范的赛事章程）。</w:t>
      </w:r>
    </w:p>
    <w:p w14:paraId="53114C31">
      <w:pPr>
        <w:pStyle w:val="6"/>
        <w:autoSpaceDE/>
        <w:autoSpaceDN/>
        <w:spacing w:line="560" w:lineRule="exact"/>
        <w:ind w:firstLine="602" w:firstLineChars="200"/>
        <w:jc w:val="both"/>
        <w:rPr>
          <w:sz w:val="30"/>
          <w:szCs w:val="30"/>
        </w:rPr>
      </w:pPr>
      <w:r>
        <w:rPr>
          <w:rFonts w:hint="eastAsia" w:cs="华文仿宋"/>
          <w:b/>
          <w:color w:val="000000"/>
          <w:sz w:val="30"/>
          <w:szCs w:val="30"/>
        </w:rPr>
        <w:t>第十一条 监管内容</w:t>
      </w:r>
    </w:p>
    <w:p w14:paraId="6C29392B">
      <w:pPr>
        <w:autoSpaceDE/>
        <w:autoSpaceDN/>
        <w:spacing w:line="560" w:lineRule="exact"/>
        <w:ind w:firstLine="600" w:firstLineChars="200"/>
        <w:jc w:val="both"/>
        <w:rPr>
          <w:rFonts w:cs="华文仿宋"/>
          <w:color w:val="000000"/>
          <w:sz w:val="30"/>
          <w:szCs w:val="30"/>
        </w:rPr>
      </w:pPr>
      <w:r>
        <w:rPr>
          <w:rFonts w:hint="eastAsia" w:ascii="黑体" w:hAnsi="黑体" w:eastAsia="黑体" w:cs="黑体"/>
          <w:color w:val="000000"/>
          <w:sz w:val="30"/>
          <w:szCs w:val="30"/>
        </w:rPr>
        <w:t>（一）安全监管：</w:t>
      </w:r>
      <w:r>
        <w:rPr>
          <w:rFonts w:hint="eastAsia" w:cs="华文仿宋"/>
          <w:color w:val="000000"/>
          <w:sz w:val="30"/>
          <w:szCs w:val="30"/>
        </w:rPr>
        <w:t>对赛事的场地设施、安全保卫、赛场秩序、食品卫生、医疗急救、疫情</w:t>
      </w:r>
      <w:r>
        <w:rPr>
          <w:rFonts w:hint="eastAsia" w:cs="华文仿宋"/>
          <w:color w:val="000000"/>
          <w:sz w:val="30"/>
          <w:szCs w:val="30"/>
          <w:lang w:val="en-US" w:eastAsia="zh-CN"/>
        </w:rPr>
        <w:t>和传染病</w:t>
      </w:r>
      <w:r>
        <w:rPr>
          <w:rFonts w:hint="eastAsia" w:cs="华文仿宋"/>
          <w:color w:val="000000"/>
          <w:sz w:val="30"/>
          <w:szCs w:val="30"/>
        </w:rPr>
        <w:t>防控、应急预案等进行全面监督。各赛事举办方、属地体育行政主管部门和公安部门</w:t>
      </w:r>
      <w:r>
        <w:rPr>
          <w:rFonts w:hint="eastAsia" w:cs="华文仿宋"/>
          <w:color w:val="000000"/>
          <w:sz w:val="30"/>
          <w:szCs w:val="30"/>
          <w:lang w:val="en-US" w:eastAsia="zh-CN"/>
        </w:rPr>
        <w:t>应</w:t>
      </w:r>
      <w:r>
        <w:rPr>
          <w:rFonts w:hint="eastAsia" w:cs="华文仿宋"/>
          <w:color w:val="000000"/>
          <w:sz w:val="30"/>
          <w:szCs w:val="30"/>
        </w:rPr>
        <w:t>加强对赛区安全管理工作的监督检查，并对安全工作情况进行不定期的检查，</w:t>
      </w:r>
      <w:r>
        <w:rPr>
          <w:rFonts w:hint="eastAsia" w:cs="华文仿宋"/>
          <w:color w:val="000000"/>
          <w:sz w:val="30"/>
          <w:szCs w:val="30"/>
          <w:lang w:val="en-US" w:eastAsia="zh-CN"/>
        </w:rPr>
        <w:t>包括违犯法律法规的各类旗、歌、徽、服以及宣传品等，</w:t>
      </w:r>
      <w:r>
        <w:rPr>
          <w:rFonts w:hint="eastAsia" w:cs="华文仿宋"/>
          <w:color w:val="000000"/>
          <w:sz w:val="30"/>
          <w:szCs w:val="30"/>
        </w:rPr>
        <w:t>对本赛事举办中可能易发生危及公共安全和人身安全的各类风险和突发事件制定风险预案</w:t>
      </w:r>
      <w:r>
        <w:rPr>
          <w:rFonts w:hint="eastAsia" w:cs="华文仿宋"/>
          <w:color w:val="000000"/>
          <w:sz w:val="30"/>
          <w:szCs w:val="30"/>
          <w:lang w:eastAsia="zh-CN"/>
        </w:rPr>
        <w:t>，</w:t>
      </w:r>
      <w:r>
        <w:rPr>
          <w:rFonts w:hint="eastAsia" w:cs="华文仿宋"/>
          <w:color w:val="000000"/>
          <w:sz w:val="30"/>
          <w:szCs w:val="30"/>
        </w:rPr>
        <w:t>包括进行应急演练。</w:t>
      </w:r>
    </w:p>
    <w:p w14:paraId="0909B819">
      <w:pPr>
        <w:autoSpaceDE/>
        <w:autoSpaceDN/>
        <w:spacing w:line="560" w:lineRule="exact"/>
        <w:ind w:firstLine="600" w:firstLineChars="200"/>
        <w:jc w:val="both"/>
        <w:rPr>
          <w:rFonts w:cs="华文仿宋"/>
          <w:color w:val="000000"/>
          <w:sz w:val="30"/>
          <w:szCs w:val="30"/>
        </w:rPr>
      </w:pPr>
      <w:r>
        <w:rPr>
          <w:rFonts w:hint="eastAsia" w:ascii="黑体" w:hAnsi="黑体" w:eastAsia="黑体" w:cs="黑体"/>
          <w:color w:val="000000"/>
          <w:sz w:val="30"/>
          <w:szCs w:val="30"/>
        </w:rPr>
        <w:t>（二）组织监管：</w:t>
      </w:r>
      <w:r>
        <w:rPr>
          <w:rFonts w:hint="eastAsia" w:cs="华文仿宋"/>
          <w:color w:val="000000"/>
          <w:sz w:val="30"/>
          <w:szCs w:val="30"/>
        </w:rPr>
        <w:t>对赛事（联赛）的准入、组织、赛程、赛制、赛规等落实情况进行全面监督，保护赛事</w:t>
      </w:r>
      <w:r>
        <w:rPr>
          <w:rFonts w:hint="eastAsia" w:cs="华文仿宋"/>
          <w:color w:val="000000"/>
          <w:sz w:val="30"/>
          <w:szCs w:val="30"/>
          <w:lang w:val="en-US" w:eastAsia="zh-CN"/>
        </w:rPr>
        <w:t>各</w:t>
      </w:r>
      <w:r>
        <w:rPr>
          <w:rFonts w:hint="eastAsia" w:cs="华文仿宋"/>
          <w:color w:val="000000"/>
          <w:sz w:val="30"/>
          <w:szCs w:val="30"/>
        </w:rPr>
        <w:t>参与者的合法权益，强化赛前、赛中、赛后的管理与保障服务，确保赛事活动公平公正、安全顺利进行</w:t>
      </w:r>
      <w:r>
        <w:rPr>
          <w:rFonts w:hint="eastAsia" w:cs="华文仿宋"/>
          <w:color w:val="000000"/>
          <w:sz w:val="30"/>
          <w:szCs w:val="30"/>
          <w:lang w:eastAsia="zh-CN"/>
        </w:rPr>
        <w:t>，</w:t>
      </w:r>
      <w:r>
        <w:rPr>
          <w:rFonts w:hint="eastAsia" w:cs="华文仿宋"/>
          <w:color w:val="000000"/>
          <w:sz w:val="30"/>
          <w:szCs w:val="30"/>
        </w:rPr>
        <w:t>防止出现不正当竞争和违规行为。</w:t>
      </w:r>
    </w:p>
    <w:p w14:paraId="669B1B68">
      <w:pPr>
        <w:autoSpaceDE/>
        <w:autoSpaceDN/>
        <w:spacing w:line="560" w:lineRule="exact"/>
        <w:ind w:firstLine="600" w:firstLineChars="200"/>
        <w:jc w:val="both"/>
        <w:rPr>
          <w:rFonts w:cs="华文仿宋"/>
          <w:color w:val="000000"/>
          <w:sz w:val="30"/>
          <w:szCs w:val="30"/>
        </w:rPr>
      </w:pPr>
      <w:r>
        <w:rPr>
          <w:rFonts w:hint="eastAsia" w:ascii="黑体" w:hAnsi="黑体" w:eastAsia="黑体" w:cs="黑体"/>
          <w:color w:val="000000"/>
          <w:sz w:val="30"/>
          <w:szCs w:val="30"/>
        </w:rPr>
        <w:t>（三）裁判员监管：</w:t>
      </w:r>
      <w:r>
        <w:rPr>
          <w:rFonts w:hint="eastAsia" w:cs="华文仿宋"/>
          <w:color w:val="000000"/>
          <w:sz w:val="30"/>
          <w:szCs w:val="30"/>
        </w:rPr>
        <w:t>赛事主办方加强裁判员选派工作，赛前进行专门技术培训、开展反“假赌黑”警示教育等，签署协议和承诺书，确保其在比赛中公正、准确地执行规则。赛中对裁判员实施伴随监督、对争议判罚开展技术评议；赛后对裁判员进行评估考核</w:t>
      </w:r>
      <w:r>
        <w:rPr>
          <w:rFonts w:hint="eastAsia" w:cs="华文仿宋"/>
          <w:color w:val="000000"/>
          <w:sz w:val="30"/>
          <w:szCs w:val="30"/>
          <w:lang w:val="en-US" w:eastAsia="zh-CN"/>
        </w:rPr>
        <w:t>并适时公开；</w:t>
      </w:r>
      <w:r>
        <w:rPr>
          <w:rFonts w:hint="eastAsia" w:cs="华文仿宋"/>
          <w:color w:val="000000"/>
          <w:sz w:val="30"/>
          <w:szCs w:val="30"/>
        </w:rPr>
        <w:t>对履职不力裁判员进行降级和列入“黑名单”等处罚。</w:t>
      </w:r>
    </w:p>
    <w:p w14:paraId="01E39664">
      <w:pPr>
        <w:autoSpaceDE/>
        <w:autoSpaceDN/>
        <w:spacing w:line="560" w:lineRule="exact"/>
        <w:ind w:firstLine="600" w:firstLineChars="200"/>
        <w:jc w:val="both"/>
        <w:rPr>
          <w:rFonts w:cs="华文仿宋"/>
          <w:color w:val="000000"/>
          <w:sz w:val="30"/>
          <w:szCs w:val="30"/>
        </w:rPr>
      </w:pPr>
      <w:r>
        <w:rPr>
          <w:rFonts w:hint="eastAsia" w:ascii="黑体" w:hAnsi="黑体" w:eastAsia="黑体" w:cs="黑体"/>
          <w:color w:val="000000"/>
          <w:sz w:val="30"/>
          <w:szCs w:val="30"/>
        </w:rPr>
        <w:t>（四）参赛队监管：</w:t>
      </w:r>
      <w:r>
        <w:rPr>
          <w:rFonts w:hint="eastAsia" w:cs="华文仿宋"/>
          <w:color w:val="000000"/>
          <w:sz w:val="30"/>
          <w:szCs w:val="30"/>
        </w:rPr>
        <w:t>对参赛队和俱乐部官员、教练员、球员等参赛主体进行监督。属地会员单位和地方体育行政部门牵头对辖区内参赛主体加强反“假赌黑”警示教育，对相关负责人赛前开展谈话提醒，确保其遵守国家法律法规和联赛纪律规定。</w:t>
      </w:r>
    </w:p>
    <w:p w14:paraId="62018191">
      <w:pPr>
        <w:autoSpaceDE/>
        <w:autoSpaceDN/>
        <w:spacing w:line="560" w:lineRule="exact"/>
        <w:ind w:firstLine="600" w:firstLineChars="200"/>
        <w:jc w:val="both"/>
        <w:rPr>
          <w:rFonts w:cs="华文仿宋"/>
          <w:color w:val="000000"/>
          <w:sz w:val="30"/>
          <w:szCs w:val="30"/>
        </w:rPr>
      </w:pPr>
      <w:r>
        <w:rPr>
          <w:rFonts w:hint="eastAsia" w:ascii="黑体" w:hAnsi="黑体" w:eastAsia="黑体" w:cs="黑体"/>
          <w:color w:val="000000"/>
          <w:sz w:val="30"/>
          <w:szCs w:val="30"/>
        </w:rPr>
        <w:t>（五）赛事文化监管：</w:t>
      </w:r>
      <w:r>
        <w:rPr>
          <w:rFonts w:hint="eastAsia" w:cs="华文仿宋"/>
          <w:color w:val="000000"/>
          <w:sz w:val="30"/>
          <w:szCs w:val="30"/>
        </w:rPr>
        <w:t>对赛区球迷文化和媒体宣传情况进行监督。中国篮协、赛事主办方、赛区组委会和</w:t>
      </w:r>
      <w:r>
        <w:rPr>
          <w:rFonts w:hint="eastAsia" w:cs="华文仿宋"/>
          <w:color w:val="000000"/>
          <w:sz w:val="30"/>
          <w:szCs w:val="30"/>
          <w:lang w:val="en-US" w:eastAsia="zh-CN"/>
        </w:rPr>
        <w:t>参赛</w:t>
      </w:r>
      <w:r>
        <w:rPr>
          <w:rFonts w:hint="eastAsia" w:cs="华文仿宋"/>
          <w:color w:val="000000"/>
          <w:sz w:val="30"/>
          <w:szCs w:val="30"/>
        </w:rPr>
        <w:t>俱乐部要联合印发文明倡议书，引导球迷文明观赛，理智对待比赛结果，不得以过激行为扰乱赛场秩序；会员单位、赛区组委会和</w:t>
      </w:r>
      <w:r>
        <w:rPr>
          <w:rFonts w:hint="eastAsia" w:cs="华文仿宋"/>
          <w:color w:val="000000"/>
          <w:sz w:val="30"/>
          <w:szCs w:val="30"/>
          <w:lang w:val="en-US" w:eastAsia="zh-CN"/>
        </w:rPr>
        <w:t>参赛单位</w:t>
      </w:r>
      <w:r>
        <w:rPr>
          <w:rFonts w:hint="eastAsia" w:cs="华文仿宋"/>
          <w:color w:val="000000"/>
          <w:sz w:val="30"/>
          <w:szCs w:val="30"/>
        </w:rPr>
        <w:t>要加强与球迷的互动和引导，共同营造积极向上的赛场氛围，加强与媒体的沟通与合作，积极宣传联赛的正面形象。</w:t>
      </w:r>
    </w:p>
    <w:p w14:paraId="2FA903E6">
      <w:pPr>
        <w:widowControl/>
        <w:shd w:val="clear" w:color="auto" w:fill="FFFFFF"/>
        <w:autoSpaceDE/>
        <w:autoSpaceDN/>
        <w:spacing w:line="560" w:lineRule="exact"/>
        <w:ind w:firstLine="600" w:firstLineChars="200"/>
        <w:jc w:val="both"/>
        <w:rPr>
          <w:rFonts w:ascii="Arial" w:hAnsi="Arial" w:cs="Arial"/>
          <w:color w:val="333333"/>
          <w:sz w:val="30"/>
          <w:szCs w:val="30"/>
          <w:shd w:val="clear" w:color="auto" w:fill="FFFFFF"/>
        </w:rPr>
      </w:pPr>
      <w:r>
        <w:rPr>
          <w:rFonts w:hint="eastAsia" w:ascii="黑体" w:hAnsi="黑体" w:eastAsia="黑体" w:cs="黑体"/>
          <w:color w:val="000000"/>
          <w:sz w:val="30"/>
          <w:szCs w:val="30"/>
        </w:rPr>
        <w:t>（六）赛事纪律监管</w:t>
      </w:r>
      <w:r>
        <w:rPr>
          <w:rFonts w:hint="eastAsia" w:cs="华文仿宋"/>
          <w:color w:val="000000"/>
          <w:sz w:val="30"/>
          <w:szCs w:val="30"/>
        </w:rPr>
        <w:t>：加强对赛事三员（运动员、教练员和裁判员）违规处罚的纪律监督，包括三员的技术等级认证、职称评定和晋级考核等容易发生不正之风的事项。对赛事中出现的“假赌黑”问题高度重视，专门立项并进行调查处理，加强赛风赛纪问题的调查和处罚，杜绝监管不力和以权谋私等不正之风和腐败问题。确保处罚的合规和适度，维护赛事纪律和赛</w:t>
      </w:r>
      <w:r>
        <w:rPr>
          <w:rFonts w:hint="eastAsia" w:cs="华文仿宋"/>
          <w:color w:val="000000"/>
          <w:sz w:val="30"/>
          <w:szCs w:val="30"/>
          <w:lang w:val="en-US" w:eastAsia="zh-CN"/>
        </w:rPr>
        <w:t>场</w:t>
      </w:r>
      <w:r>
        <w:rPr>
          <w:rFonts w:hint="eastAsia" w:cs="华文仿宋"/>
          <w:color w:val="000000"/>
          <w:sz w:val="30"/>
          <w:szCs w:val="30"/>
        </w:rPr>
        <w:t>秩序。</w:t>
      </w:r>
    </w:p>
    <w:p w14:paraId="514B384C">
      <w:pPr>
        <w:pStyle w:val="7"/>
        <w:shd w:val="clear" w:color="auto" w:fill="FFFFFF"/>
        <w:autoSpaceDE/>
        <w:autoSpaceDN/>
        <w:spacing w:before="0" w:beforeAutospacing="0" w:after="0" w:afterAutospacing="0" w:line="560" w:lineRule="exact"/>
        <w:ind w:firstLine="602" w:firstLineChars="200"/>
        <w:jc w:val="both"/>
        <w:rPr>
          <w:rFonts w:ascii="黑体" w:hAnsi="黑体" w:eastAsia="黑体" w:cs="黑体"/>
          <w:color w:val="333333"/>
          <w:sz w:val="30"/>
          <w:szCs w:val="30"/>
          <w:shd w:val="clear" w:color="auto" w:fill="FFFFFF"/>
        </w:rPr>
      </w:pPr>
      <w:r>
        <w:rPr>
          <w:rFonts w:hint="eastAsia" w:ascii="仿宋" w:hAnsi="仿宋" w:cs="华文仿宋"/>
          <w:b/>
          <w:color w:val="000000"/>
          <w:sz w:val="30"/>
          <w:szCs w:val="30"/>
        </w:rPr>
        <w:t>第十二条  赛前、赛中、赛后监管重点</w:t>
      </w:r>
    </w:p>
    <w:p w14:paraId="5712F9DB">
      <w:pPr>
        <w:pStyle w:val="7"/>
        <w:shd w:val="clear" w:color="auto" w:fill="FFFFFF"/>
        <w:autoSpaceDE/>
        <w:autoSpaceDN/>
        <w:spacing w:before="0" w:beforeAutospacing="0" w:after="0" w:afterAutospacing="0" w:line="560" w:lineRule="exact"/>
        <w:ind w:firstLine="602" w:firstLineChars="200"/>
        <w:jc w:val="both"/>
        <w:rPr>
          <w:rFonts w:ascii="Arial" w:hAnsi="Arial" w:cs="Arial"/>
          <w:color w:val="333333"/>
          <w:sz w:val="30"/>
          <w:szCs w:val="30"/>
          <w:shd w:val="clear" w:color="auto" w:fill="FFFFFF"/>
        </w:rPr>
      </w:pPr>
      <w:r>
        <w:rPr>
          <w:rFonts w:hint="eastAsia" w:ascii="黑体" w:hAnsi="黑体" w:eastAsia="黑体" w:cs="黑体"/>
          <w:b/>
          <w:bCs/>
          <w:color w:val="333333"/>
          <w:sz w:val="30"/>
          <w:szCs w:val="30"/>
          <w:shd w:val="clear" w:color="auto" w:fill="FFFFFF"/>
        </w:rPr>
        <w:t>（一）赛前监管：</w:t>
      </w:r>
      <w:r>
        <w:rPr>
          <w:rFonts w:hint="eastAsia" w:ascii="Arial" w:hAnsi="Arial" w:cs="Arial"/>
          <w:color w:val="333333"/>
          <w:sz w:val="30"/>
          <w:szCs w:val="30"/>
          <w:shd w:val="clear" w:color="auto" w:fill="FFFFFF"/>
        </w:rPr>
        <w:t>各方是否通过协商签订篮球</w:t>
      </w:r>
      <w:r>
        <w:rPr>
          <w:rFonts w:ascii="Arial" w:hAnsi="Arial" w:cs="Arial"/>
          <w:color w:val="333333"/>
          <w:sz w:val="30"/>
          <w:szCs w:val="30"/>
          <w:shd w:val="clear" w:color="auto" w:fill="FFFFFF"/>
        </w:rPr>
        <w:t>赛事活动的书面协议</w:t>
      </w:r>
      <w:r>
        <w:rPr>
          <w:rFonts w:hint="eastAsia" w:ascii="Arial" w:hAnsi="Arial" w:cs="Arial"/>
          <w:color w:val="333333"/>
          <w:sz w:val="30"/>
          <w:szCs w:val="30"/>
          <w:shd w:val="clear" w:color="auto" w:fill="FFFFFF"/>
        </w:rPr>
        <w:t>，</w:t>
      </w:r>
      <w:r>
        <w:rPr>
          <w:rFonts w:ascii="Arial" w:hAnsi="Arial" w:cs="Arial"/>
          <w:color w:val="333333"/>
          <w:sz w:val="30"/>
          <w:szCs w:val="30"/>
          <w:shd w:val="clear" w:color="auto" w:fill="FFFFFF"/>
        </w:rPr>
        <w:t>明确赛事活动</w:t>
      </w:r>
      <w:r>
        <w:rPr>
          <w:rFonts w:hint="eastAsia" w:ascii="Arial" w:hAnsi="Arial" w:cs="Arial"/>
          <w:color w:val="333333"/>
          <w:sz w:val="30"/>
          <w:szCs w:val="30"/>
          <w:shd w:val="clear" w:color="auto" w:fill="FFFFFF"/>
        </w:rPr>
        <w:t>各方</w:t>
      </w:r>
      <w:r>
        <w:rPr>
          <w:rFonts w:ascii="Arial" w:hAnsi="Arial" w:cs="Arial"/>
          <w:color w:val="333333"/>
          <w:sz w:val="30"/>
          <w:szCs w:val="30"/>
          <w:shd w:val="clear" w:color="auto" w:fill="FFFFFF"/>
        </w:rPr>
        <w:t>的权利义务和责任分工</w:t>
      </w:r>
      <w:r>
        <w:rPr>
          <w:rFonts w:hint="eastAsia" w:ascii="Arial" w:hAnsi="Arial" w:cs="Arial"/>
          <w:color w:val="333333"/>
          <w:sz w:val="30"/>
          <w:szCs w:val="30"/>
          <w:shd w:val="clear" w:color="auto" w:fill="FFFFFF"/>
        </w:rPr>
        <w:t>；是否进行</w:t>
      </w:r>
      <w:r>
        <w:rPr>
          <w:rFonts w:ascii="Arial" w:hAnsi="Arial" w:cs="Arial"/>
          <w:color w:val="333333"/>
          <w:sz w:val="30"/>
          <w:szCs w:val="30"/>
          <w:shd w:val="clear" w:color="auto" w:fill="FFFFFF"/>
        </w:rPr>
        <w:t>赛事活动赛前审批或备案</w:t>
      </w:r>
      <w:r>
        <w:rPr>
          <w:rFonts w:hint="eastAsia" w:ascii="Arial" w:hAnsi="Arial" w:cs="Arial"/>
          <w:color w:val="333333"/>
          <w:sz w:val="30"/>
          <w:szCs w:val="30"/>
          <w:shd w:val="clear" w:color="auto" w:fill="FFFFFF"/>
        </w:rPr>
        <w:t>；是否拟定</w:t>
      </w:r>
      <w:r>
        <w:rPr>
          <w:rFonts w:ascii="Arial" w:hAnsi="Arial" w:cs="Arial"/>
          <w:color w:val="333333"/>
          <w:sz w:val="30"/>
          <w:szCs w:val="30"/>
          <w:shd w:val="clear" w:color="auto" w:fill="FFFFFF"/>
        </w:rPr>
        <w:t>各项</w:t>
      </w:r>
      <w:r>
        <w:rPr>
          <w:rFonts w:hint="eastAsia" w:ascii="Arial" w:hAnsi="Arial" w:cs="Arial"/>
          <w:color w:val="333333"/>
          <w:sz w:val="30"/>
          <w:szCs w:val="30"/>
          <w:shd w:val="clear" w:color="auto" w:fill="FFFFFF"/>
        </w:rPr>
        <w:t>赛事工作</w:t>
      </w:r>
      <w:r>
        <w:rPr>
          <w:rFonts w:ascii="Arial" w:hAnsi="Arial" w:cs="Arial"/>
          <w:color w:val="333333"/>
          <w:sz w:val="30"/>
          <w:szCs w:val="30"/>
          <w:shd w:val="clear" w:color="auto" w:fill="FFFFFF"/>
        </w:rPr>
        <w:t>计划</w:t>
      </w:r>
      <w:r>
        <w:rPr>
          <w:rFonts w:hint="eastAsia" w:ascii="Arial" w:hAnsi="Arial" w:cs="Arial"/>
          <w:color w:val="333333"/>
          <w:sz w:val="30"/>
          <w:szCs w:val="30"/>
          <w:shd w:val="clear" w:color="auto" w:fill="FFFFFF"/>
        </w:rPr>
        <w:t>、办赛手册、参赛指引；是否具备</w:t>
      </w:r>
      <w:r>
        <w:rPr>
          <w:rFonts w:ascii="Arial" w:hAnsi="Arial" w:cs="Arial"/>
          <w:color w:val="333333"/>
          <w:sz w:val="30"/>
          <w:szCs w:val="30"/>
          <w:shd w:val="clear" w:color="auto" w:fill="FFFFFF"/>
        </w:rPr>
        <w:t>符合</w:t>
      </w:r>
      <w:r>
        <w:rPr>
          <w:rFonts w:hint="eastAsia" w:ascii="Arial" w:hAnsi="Arial" w:cs="Arial"/>
          <w:color w:val="333333"/>
          <w:sz w:val="30"/>
          <w:szCs w:val="30"/>
          <w:shd w:val="clear" w:color="auto" w:fill="FFFFFF"/>
        </w:rPr>
        <w:t>篮球赛事</w:t>
      </w:r>
      <w:r>
        <w:rPr>
          <w:rFonts w:ascii="Arial" w:hAnsi="Arial" w:cs="Arial"/>
          <w:color w:val="333333"/>
          <w:sz w:val="30"/>
          <w:szCs w:val="30"/>
          <w:shd w:val="clear" w:color="auto" w:fill="FFFFFF"/>
        </w:rPr>
        <w:t>相关标准和要求的场地、器材和设施</w:t>
      </w:r>
      <w:r>
        <w:rPr>
          <w:rFonts w:hint="eastAsia" w:ascii="Arial" w:hAnsi="Arial" w:cs="Arial"/>
          <w:color w:val="333333"/>
          <w:sz w:val="30"/>
          <w:szCs w:val="30"/>
          <w:shd w:val="clear" w:color="auto" w:fill="FFFFFF"/>
        </w:rPr>
        <w:t>；是否与公安、消防</w:t>
      </w:r>
      <w:r>
        <w:rPr>
          <w:rFonts w:ascii="Arial" w:hAnsi="Arial" w:cs="Arial"/>
          <w:color w:val="333333"/>
          <w:sz w:val="30"/>
          <w:szCs w:val="30"/>
          <w:shd w:val="clear" w:color="auto" w:fill="FFFFFF"/>
        </w:rPr>
        <w:t>、通信、医疗、卫生、交通、应急救援</w:t>
      </w:r>
      <w:r>
        <w:rPr>
          <w:rFonts w:hint="eastAsia" w:ascii="Arial" w:hAnsi="Arial" w:cs="Arial"/>
          <w:color w:val="333333"/>
          <w:sz w:val="30"/>
          <w:szCs w:val="30"/>
          <w:shd w:val="clear" w:color="auto" w:fill="FFFFFF"/>
        </w:rPr>
        <w:t>等各方进行协调并落实安全措施</w:t>
      </w:r>
      <w:r>
        <w:rPr>
          <w:rFonts w:ascii="Arial" w:hAnsi="Arial" w:cs="Arial"/>
          <w:color w:val="333333"/>
          <w:sz w:val="30"/>
          <w:szCs w:val="30"/>
          <w:shd w:val="clear" w:color="auto" w:fill="FFFFFF"/>
        </w:rPr>
        <w:t>和应急预案</w:t>
      </w:r>
      <w:r>
        <w:rPr>
          <w:rFonts w:hint="eastAsia" w:ascii="Arial" w:hAnsi="Arial" w:cs="Arial"/>
          <w:color w:val="333333"/>
          <w:sz w:val="30"/>
          <w:szCs w:val="30"/>
          <w:shd w:val="clear" w:color="auto" w:fill="FFFFFF"/>
        </w:rPr>
        <w:t>；</w:t>
      </w:r>
      <w:r>
        <w:rPr>
          <w:rFonts w:ascii="Arial" w:hAnsi="Arial" w:cs="Arial"/>
          <w:color w:val="333333"/>
          <w:sz w:val="30"/>
          <w:szCs w:val="30"/>
          <w:shd w:val="clear" w:color="auto" w:fill="FFFFFF"/>
        </w:rPr>
        <w:t>赛事信息</w:t>
      </w:r>
      <w:r>
        <w:rPr>
          <w:rFonts w:hint="eastAsia" w:ascii="Arial" w:hAnsi="Arial" w:cs="Arial"/>
          <w:color w:val="333333"/>
          <w:sz w:val="30"/>
          <w:szCs w:val="30"/>
          <w:shd w:val="clear" w:color="auto" w:fill="FFFFFF"/>
        </w:rPr>
        <w:t>是否</w:t>
      </w:r>
      <w:r>
        <w:rPr>
          <w:rFonts w:ascii="Arial" w:hAnsi="Arial" w:cs="Arial"/>
          <w:color w:val="333333"/>
          <w:sz w:val="30"/>
          <w:szCs w:val="30"/>
          <w:shd w:val="clear" w:color="auto" w:fill="FFFFFF"/>
        </w:rPr>
        <w:t>公开透明</w:t>
      </w:r>
      <w:r>
        <w:rPr>
          <w:rFonts w:hint="eastAsia" w:ascii="Arial" w:hAnsi="Arial" w:cs="Arial"/>
          <w:color w:val="333333"/>
          <w:sz w:val="30"/>
          <w:szCs w:val="30"/>
          <w:shd w:val="clear" w:color="auto" w:fill="FFFFFF"/>
        </w:rPr>
        <w:t>；是否组建组委会并</w:t>
      </w:r>
      <w:r>
        <w:rPr>
          <w:rFonts w:ascii="Arial" w:hAnsi="Arial" w:cs="Arial"/>
          <w:color w:val="333333"/>
          <w:sz w:val="30"/>
          <w:szCs w:val="30"/>
          <w:shd w:val="clear" w:color="auto" w:fill="FFFFFF"/>
        </w:rPr>
        <w:t>配备具有相应资质的专业技术人员</w:t>
      </w:r>
      <w:r>
        <w:rPr>
          <w:rFonts w:hint="eastAsia" w:ascii="Arial" w:hAnsi="Arial" w:cs="Arial"/>
          <w:color w:val="333333"/>
          <w:sz w:val="30"/>
          <w:szCs w:val="30"/>
          <w:shd w:val="clear" w:color="auto" w:fill="FFFFFF"/>
        </w:rPr>
        <w:t>，是否进行专业培训；是否购买保险，签订责任书和承诺书。</w:t>
      </w:r>
    </w:p>
    <w:p w14:paraId="3CA42028">
      <w:pPr>
        <w:pStyle w:val="7"/>
        <w:shd w:val="clear" w:color="auto" w:fill="FFFFFF"/>
        <w:autoSpaceDE/>
        <w:autoSpaceDN/>
        <w:spacing w:before="0" w:beforeAutospacing="0" w:after="0" w:afterAutospacing="0" w:line="560" w:lineRule="exact"/>
        <w:ind w:firstLine="602" w:firstLineChars="200"/>
        <w:jc w:val="both"/>
        <w:rPr>
          <w:rFonts w:ascii="Arial" w:hAnsi="Arial" w:cs="Arial"/>
          <w:color w:val="333333"/>
          <w:sz w:val="30"/>
          <w:szCs w:val="30"/>
        </w:rPr>
      </w:pPr>
      <w:r>
        <w:rPr>
          <w:rFonts w:hint="eastAsia" w:ascii="黑体" w:hAnsi="黑体" w:eastAsia="黑体" w:cs="黑体"/>
          <w:b/>
          <w:bCs/>
          <w:color w:val="333333"/>
          <w:sz w:val="30"/>
          <w:szCs w:val="30"/>
          <w:shd w:val="clear" w:color="auto" w:fill="FFFFFF"/>
        </w:rPr>
        <w:t>（二） 赛中监管：</w:t>
      </w:r>
      <w:r>
        <w:rPr>
          <w:rFonts w:hint="eastAsia" w:ascii="Arial" w:hAnsi="Arial" w:cs="Arial"/>
          <w:color w:val="333333"/>
          <w:sz w:val="30"/>
          <w:szCs w:val="30"/>
          <w:shd w:val="clear" w:color="auto" w:fill="FFFFFF"/>
        </w:rPr>
        <w:t>赛事举办各方是否</w:t>
      </w:r>
      <w:r>
        <w:rPr>
          <w:rFonts w:ascii="Arial" w:hAnsi="Arial" w:cs="Arial"/>
          <w:color w:val="333333"/>
          <w:sz w:val="30"/>
          <w:szCs w:val="30"/>
          <w:shd w:val="clear" w:color="auto" w:fill="FFFFFF"/>
        </w:rPr>
        <w:t>履行安全办赛责任和义务</w:t>
      </w:r>
      <w:r>
        <w:rPr>
          <w:rFonts w:hint="eastAsia" w:ascii="Arial" w:hAnsi="Arial" w:cs="Arial"/>
          <w:color w:val="333333"/>
          <w:sz w:val="30"/>
          <w:szCs w:val="30"/>
          <w:shd w:val="clear" w:color="auto" w:fill="FFFFFF"/>
        </w:rPr>
        <w:t>；是否进行安全教育、宣传和管理；</w:t>
      </w:r>
      <w:r>
        <w:rPr>
          <w:rFonts w:ascii="Arial" w:hAnsi="Arial" w:cs="Arial"/>
          <w:color w:val="333333"/>
          <w:sz w:val="30"/>
          <w:szCs w:val="30"/>
          <w:shd w:val="clear" w:color="auto" w:fill="FFFFFF"/>
        </w:rPr>
        <w:t>临时搭建的设施</w:t>
      </w:r>
      <w:r>
        <w:rPr>
          <w:rFonts w:hint="eastAsia" w:ascii="Arial" w:hAnsi="Arial" w:cs="Arial"/>
          <w:color w:val="333333"/>
          <w:sz w:val="30"/>
          <w:szCs w:val="30"/>
          <w:shd w:val="clear" w:color="auto" w:fill="FFFFFF"/>
        </w:rPr>
        <w:t>是否安全；是否</w:t>
      </w:r>
      <w:r>
        <w:rPr>
          <w:rFonts w:ascii="Arial" w:hAnsi="Arial" w:cs="Arial"/>
          <w:color w:val="333333"/>
          <w:sz w:val="30"/>
          <w:szCs w:val="30"/>
          <w:shd w:val="clear" w:color="auto" w:fill="FFFFFF"/>
        </w:rPr>
        <w:t>对本项赛事活动进行有效的风险防控</w:t>
      </w:r>
      <w:r>
        <w:rPr>
          <w:rFonts w:hint="eastAsia" w:ascii="Arial" w:hAnsi="Arial" w:cs="Arial"/>
          <w:color w:val="333333"/>
          <w:sz w:val="30"/>
          <w:szCs w:val="30"/>
          <w:shd w:val="clear" w:color="auto" w:fill="FFFFFF"/>
        </w:rPr>
        <w:t>，</w:t>
      </w:r>
      <w:r>
        <w:rPr>
          <w:rFonts w:ascii="Arial" w:hAnsi="Arial" w:cs="Arial"/>
          <w:color w:val="333333"/>
          <w:sz w:val="30"/>
          <w:szCs w:val="30"/>
          <w:shd w:val="clear" w:color="auto" w:fill="FFFFFF"/>
        </w:rPr>
        <w:t>医疗救护、消防、</w:t>
      </w:r>
      <w:r>
        <w:rPr>
          <w:rFonts w:hint="eastAsia" w:ascii="Arial" w:hAnsi="Arial" w:cs="Arial"/>
          <w:color w:val="333333"/>
          <w:sz w:val="30"/>
          <w:szCs w:val="30"/>
          <w:shd w:val="clear" w:color="auto" w:fill="FFFFFF"/>
        </w:rPr>
        <w:t>交通</w:t>
      </w:r>
      <w:r>
        <w:rPr>
          <w:rFonts w:ascii="Arial" w:hAnsi="Arial" w:cs="Arial"/>
          <w:color w:val="333333"/>
          <w:sz w:val="30"/>
          <w:szCs w:val="30"/>
          <w:shd w:val="clear" w:color="auto" w:fill="FFFFFF"/>
        </w:rPr>
        <w:t>疏散</w:t>
      </w:r>
      <w:r>
        <w:rPr>
          <w:rFonts w:hint="eastAsia" w:ascii="Arial" w:hAnsi="Arial" w:cs="Arial"/>
          <w:color w:val="333333"/>
          <w:sz w:val="30"/>
          <w:szCs w:val="30"/>
          <w:shd w:val="clear" w:color="auto" w:fill="FFFFFF"/>
        </w:rPr>
        <w:t>、</w:t>
      </w:r>
      <w:r>
        <w:rPr>
          <w:rFonts w:ascii="Arial" w:hAnsi="Arial" w:cs="Arial"/>
          <w:color w:val="333333"/>
          <w:sz w:val="30"/>
          <w:szCs w:val="30"/>
          <w:shd w:val="clear" w:color="auto" w:fill="FFFFFF"/>
        </w:rPr>
        <w:t>应急救援</w:t>
      </w:r>
      <w:r>
        <w:rPr>
          <w:rFonts w:hint="eastAsia" w:ascii="Arial" w:hAnsi="Arial" w:cs="Arial"/>
          <w:color w:val="333333"/>
          <w:sz w:val="30"/>
          <w:szCs w:val="30"/>
          <w:shd w:val="clear" w:color="auto" w:fill="FFFFFF"/>
        </w:rPr>
        <w:t>是否及时到位；工作人员、运动员、观众等是否</w:t>
      </w:r>
      <w:r>
        <w:rPr>
          <w:rFonts w:ascii="Arial" w:hAnsi="Arial" w:cs="Arial"/>
          <w:color w:val="333333"/>
          <w:sz w:val="30"/>
          <w:szCs w:val="30"/>
          <w:shd w:val="clear" w:color="auto" w:fill="FFFFFF"/>
        </w:rPr>
        <w:t>履行诚信、安全、有序的办赛、参赛、观赛义务</w:t>
      </w:r>
      <w:r>
        <w:rPr>
          <w:rFonts w:hint="eastAsia" w:ascii="Arial" w:hAnsi="Arial" w:cs="Arial"/>
          <w:color w:val="333333"/>
          <w:sz w:val="30"/>
          <w:szCs w:val="30"/>
          <w:shd w:val="clear" w:color="auto" w:fill="FFFFFF"/>
        </w:rPr>
        <w:t>；是否有违犯反</w:t>
      </w:r>
      <w:r>
        <w:rPr>
          <w:rFonts w:ascii="Arial" w:hAnsi="Arial" w:cs="Arial"/>
          <w:color w:val="333333"/>
          <w:sz w:val="30"/>
          <w:szCs w:val="30"/>
          <w:shd w:val="clear" w:color="auto" w:fill="FFFFFF"/>
        </w:rPr>
        <w:t>赛事活动正常秩序</w:t>
      </w:r>
      <w:r>
        <w:rPr>
          <w:rFonts w:hint="eastAsia" w:ascii="Arial" w:hAnsi="Arial" w:cs="Arial"/>
          <w:color w:val="333333"/>
          <w:sz w:val="30"/>
          <w:szCs w:val="30"/>
          <w:shd w:val="clear" w:color="auto" w:fill="FFFFFF"/>
        </w:rPr>
        <w:t>的言行等</w:t>
      </w:r>
      <w:r>
        <w:rPr>
          <w:rFonts w:ascii="Arial" w:hAnsi="Arial" w:cs="Arial"/>
          <w:color w:val="333333"/>
          <w:sz w:val="30"/>
          <w:szCs w:val="30"/>
          <w:shd w:val="clear" w:color="auto" w:fill="FFFFFF"/>
        </w:rPr>
        <w:t>。密切关注赛事进程，在办赛条件发生变化时及时</w:t>
      </w:r>
      <w:r>
        <w:rPr>
          <w:rFonts w:hint="eastAsia" w:ascii="Arial" w:hAnsi="Arial" w:cs="Arial"/>
          <w:color w:val="333333"/>
          <w:sz w:val="30"/>
          <w:szCs w:val="30"/>
          <w:shd w:val="clear" w:color="auto" w:fill="FFFFFF"/>
          <w:lang w:val="en-US" w:eastAsia="zh-CN"/>
        </w:rPr>
        <w:t>应对，包括</w:t>
      </w:r>
      <w:r>
        <w:rPr>
          <w:rFonts w:hint="eastAsia" w:ascii="Arial" w:hAnsi="Arial" w:cs="Arial"/>
          <w:color w:val="333333"/>
          <w:sz w:val="30"/>
          <w:szCs w:val="30"/>
          <w:shd w:val="clear" w:color="auto" w:fill="FFFFFF"/>
        </w:rPr>
        <w:t>启动“熔断”机制等。</w:t>
      </w:r>
    </w:p>
    <w:p w14:paraId="60FF695B">
      <w:pPr>
        <w:pStyle w:val="7"/>
        <w:shd w:val="clear" w:color="auto" w:fill="FFFFFF"/>
        <w:autoSpaceDE/>
        <w:autoSpaceDN/>
        <w:spacing w:before="0" w:beforeAutospacing="0" w:after="0" w:afterAutospacing="0" w:line="560" w:lineRule="exact"/>
        <w:ind w:firstLine="602" w:firstLineChars="200"/>
        <w:jc w:val="both"/>
        <w:rPr>
          <w:rFonts w:ascii="Arial" w:hAnsi="Arial" w:cs="Arial"/>
          <w:color w:val="333333"/>
          <w:sz w:val="30"/>
          <w:szCs w:val="30"/>
          <w:shd w:val="clear" w:color="auto" w:fill="FFFFFF"/>
        </w:rPr>
      </w:pPr>
      <w:r>
        <w:rPr>
          <w:rFonts w:hint="eastAsia" w:ascii="黑体" w:hAnsi="黑体" w:eastAsia="黑体" w:cs="黑体"/>
          <w:b/>
          <w:bCs/>
          <w:color w:val="333333"/>
          <w:sz w:val="30"/>
          <w:szCs w:val="30"/>
          <w:shd w:val="clear" w:color="auto" w:fill="FFFFFF"/>
        </w:rPr>
        <w:t>（三） 赛后监管：</w:t>
      </w:r>
      <w:r>
        <w:rPr>
          <w:rFonts w:hint="eastAsia" w:ascii="Arial" w:hAnsi="Arial" w:cs="Arial"/>
          <w:color w:val="333333"/>
          <w:sz w:val="30"/>
          <w:szCs w:val="30"/>
          <w:shd w:val="clear" w:color="auto" w:fill="FFFFFF"/>
        </w:rPr>
        <w:t>是否对</w:t>
      </w:r>
      <w:r>
        <w:rPr>
          <w:rFonts w:ascii="Arial" w:hAnsi="Arial" w:cs="Arial"/>
          <w:color w:val="333333"/>
          <w:sz w:val="30"/>
          <w:szCs w:val="30"/>
          <w:shd w:val="clear" w:color="auto" w:fill="FFFFFF"/>
        </w:rPr>
        <w:t>竞赛组织、</w:t>
      </w:r>
      <w:r>
        <w:rPr>
          <w:rFonts w:hint="eastAsia" w:ascii="Arial" w:hAnsi="Arial" w:cs="Arial"/>
          <w:color w:val="333333"/>
          <w:sz w:val="30"/>
          <w:szCs w:val="30"/>
          <w:shd w:val="clear" w:color="auto" w:fill="FFFFFF"/>
        </w:rPr>
        <w:t>安全保卫</w:t>
      </w:r>
      <w:r>
        <w:rPr>
          <w:rFonts w:ascii="Arial" w:hAnsi="Arial" w:cs="Arial"/>
          <w:color w:val="333333"/>
          <w:sz w:val="30"/>
          <w:szCs w:val="30"/>
          <w:shd w:val="clear" w:color="auto" w:fill="FFFFFF"/>
        </w:rPr>
        <w:t>、反兴防兴、</w:t>
      </w:r>
      <w:r>
        <w:rPr>
          <w:rFonts w:hint="eastAsia" w:ascii="Arial" w:hAnsi="Arial" w:cs="Arial"/>
          <w:color w:val="333333"/>
          <w:sz w:val="30"/>
          <w:szCs w:val="30"/>
          <w:shd w:val="clear" w:color="auto" w:fill="FFFFFF"/>
        </w:rPr>
        <w:t>赛事</w:t>
      </w:r>
      <w:r>
        <w:rPr>
          <w:rFonts w:ascii="Arial" w:hAnsi="Arial" w:cs="Arial"/>
          <w:color w:val="333333"/>
          <w:sz w:val="30"/>
          <w:szCs w:val="30"/>
          <w:shd w:val="clear" w:color="auto" w:fill="FFFFFF"/>
        </w:rPr>
        <w:t>保障</w:t>
      </w:r>
      <w:r>
        <w:rPr>
          <w:rFonts w:hint="eastAsia" w:ascii="Arial" w:hAnsi="Arial" w:cs="Arial"/>
          <w:color w:val="333333"/>
          <w:sz w:val="30"/>
          <w:szCs w:val="30"/>
          <w:shd w:val="clear" w:color="auto" w:fill="FFFFFF"/>
        </w:rPr>
        <w:t>、</w:t>
      </w:r>
      <w:r>
        <w:rPr>
          <w:rFonts w:ascii="Arial" w:hAnsi="Arial" w:cs="Arial"/>
          <w:color w:val="333333"/>
          <w:sz w:val="30"/>
          <w:szCs w:val="30"/>
          <w:shd w:val="clear" w:color="auto" w:fill="FFFFFF"/>
        </w:rPr>
        <w:t>社会影响等进行</w:t>
      </w:r>
      <w:r>
        <w:rPr>
          <w:rFonts w:hint="eastAsia" w:ascii="Arial" w:hAnsi="Arial" w:cs="Arial"/>
          <w:color w:val="333333"/>
          <w:sz w:val="30"/>
          <w:szCs w:val="30"/>
          <w:shd w:val="clear" w:color="auto" w:fill="FFFFFF"/>
        </w:rPr>
        <w:t>总结和评估考核；是否对违纪违规等</w:t>
      </w:r>
      <w:r>
        <w:rPr>
          <w:rFonts w:ascii="Arial" w:hAnsi="Arial" w:cs="Arial"/>
          <w:color w:val="333333"/>
          <w:sz w:val="30"/>
          <w:szCs w:val="30"/>
          <w:shd w:val="clear" w:color="auto" w:fill="FFFFFF"/>
        </w:rPr>
        <w:t>开展调查</w:t>
      </w:r>
      <w:r>
        <w:rPr>
          <w:rFonts w:hint="eastAsia" w:ascii="Arial" w:hAnsi="Arial" w:cs="Arial"/>
          <w:color w:val="333333"/>
          <w:sz w:val="30"/>
          <w:szCs w:val="30"/>
          <w:shd w:val="clear" w:color="auto" w:fill="FFFFFF"/>
        </w:rPr>
        <w:t>和</w:t>
      </w:r>
      <w:r>
        <w:rPr>
          <w:rFonts w:ascii="Arial" w:hAnsi="Arial" w:cs="Arial"/>
          <w:color w:val="333333"/>
          <w:sz w:val="30"/>
          <w:szCs w:val="30"/>
          <w:shd w:val="clear" w:color="auto" w:fill="FFFFFF"/>
        </w:rPr>
        <w:t>依法依规处理</w:t>
      </w:r>
      <w:r>
        <w:rPr>
          <w:rFonts w:hint="eastAsia" w:ascii="Arial" w:hAnsi="Arial" w:cs="Arial"/>
          <w:color w:val="333333"/>
          <w:sz w:val="30"/>
          <w:szCs w:val="30"/>
          <w:shd w:val="clear" w:color="auto" w:fill="FFFFFF"/>
        </w:rPr>
        <w:t>；是否建立奖罚制度和信用记录，充分运用信用激励和失信惩戒；是否</w:t>
      </w:r>
      <w:r>
        <w:rPr>
          <w:rFonts w:ascii="Arial" w:hAnsi="Arial" w:cs="Arial"/>
          <w:color w:val="333333"/>
          <w:sz w:val="30"/>
          <w:szCs w:val="30"/>
          <w:shd w:val="clear" w:color="auto" w:fill="FFFFFF"/>
        </w:rPr>
        <w:t>公开处理结果，及时回应社会关切</w:t>
      </w:r>
      <w:r>
        <w:rPr>
          <w:rFonts w:hint="eastAsia" w:ascii="Arial" w:hAnsi="Arial" w:cs="Arial"/>
          <w:color w:val="333333"/>
          <w:sz w:val="30"/>
          <w:szCs w:val="30"/>
          <w:shd w:val="clear" w:color="auto" w:fill="FFFFFF"/>
        </w:rPr>
        <w:t>等</w:t>
      </w:r>
      <w:r>
        <w:rPr>
          <w:rFonts w:ascii="Arial" w:hAnsi="Arial" w:cs="Arial"/>
          <w:color w:val="333333"/>
          <w:sz w:val="30"/>
          <w:szCs w:val="30"/>
          <w:shd w:val="clear" w:color="auto" w:fill="FFFFFF"/>
        </w:rPr>
        <w:t>。</w:t>
      </w:r>
    </w:p>
    <w:p w14:paraId="7F90A485">
      <w:pPr>
        <w:pStyle w:val="7"/>
        <w:shd w:val="clear" w:color="auto" w:fill="FFFFFF"/>
        <w:spacing w:before="0" w:beforeAutospacing="0" w:after="0" w:afterAutospacing="0" w:line="560" w:lineRule="exact"/>
        <w:ind w:firstLine="420"/>
        <w:rPr>
          <w:rFonts w:ascii="Arial" w:hAnsi="Arial" w:cs="Arial"/>
          <w:color w:val="333333"/>
          <w:sz w:val="30"/>
          <w:szCs w:val="30"/>
        </w:rPr>
      </w:pPr>
    </w:p>
    <w:p w14:paraId="28078832">
      <w:pPr>
        <w:spacing w:line="560" w:lineRule="exact"/>
        <w:jc w:val="center"/>
        <w:rPr>
          <w:rFonts w:ascii="黑体" w:hAnsi="黑体" w:eastAsia="黑体"/>
          <w:sz w:val="32"/>
          <w:szCs w:val="32"/>
        </w:rPr>
      </w:pPr>
      <w:r>
        <w:rPr>
          <w:rFonts w:hint="eastAsia" w:ascii="黑体" w:hAnsi="黑体" w:eastAsia="黑体"/>
          <w:sz w:val="32"/>
          <w:szCs w:val="32"/>
        </w:rPr>
        <w:t>第四章  监管处置</w:t>
      </w:r>
    </w:p>
    <w:p w14:paraId="5E1C31C2">
      <w:pPr>
        <w:spacing w:line="560" w:lineRule="exact"/>
        <w:jc w:val="center"/>
        <w:rPr>
          <w:rFonts w:ascii="黑体" w:hAnsi="黑体" w:eastAsia="黑体"/>
          <w:sz w:val="32"/>
          <w:szCs w:val="32"/>
        </w:rPr>
      </w:pPr>
    </w:p>
    <w:p w14:paraId="2E111982">
      <w:pPr>
        <w:autoSpaceDE/>
        <w:autoSpaceDN/>
        <w:spacing w:line="560" w:lineRule="exact"/>
        <w:ind w:firstLine="602" w:firstLineChars="200"/>
        <w:jc w:val="both"/>
        <w:rPr>
          <w:rFonts w:eastAsiaTheme="minorEastAsia"/>
          <w:b/>
          <w:bCs/>
          <w:sz w:val="30"/>
          <w:szCs w:val="30"/>
        </w:rPr>
      </w:pPr>
      <w:r>
        <w:rPr>
          <w:rFonts w:hint="eastAsia"/>
          <w:b/>
          <w:bCs/>
          <w:sz w:val="30"/>
          <w:szCs w:val="30"/>
        </w:rPr>
        <w:t>第十三条 监管方法</w:t>
      </w:r>
    </w:p>
    <w:p w14:paraId="38F661FF">
      <w:pPr>
        <w:autoSpaceDE/>
        <w:autoSpaceDN/>
        <w:spacing w:line="560" w:lineRule="exact"/>
        <w:ind w:firstLine="600" w:firstLineChars="200"/>
        <w:jc w:val="both"/>
        <w:rPr>
          <w:sz w:val="30"/>
          <w:szCs w:val="30"/>
        </w:rPr>
      </w:pPr>
      <w:r>
        <w:rPr>
          <w:rFonts w:hint="eastAsia"/>
          <w:sz w:val="30"/>
          <w:szCs w:val="30"/>
        </w:rPr>
        <w:t>（一）听取举办方和相关办赛公司等的工作汇报和有关部门的专题汇报；</w:t>
      </w:r>
    </w:p>
    <w:p w14:paraId="6A17C5DA">
      <w:pPr>
        <w:autoSpaceDE/>
        <w:autoSpaceDN/>
        <w:spacing w:line="560" w:lineRule="exact"/>
        <w:ind w:firstLine="600" w:firstLineChars="200"/>
        <w:jc w:val="both"/>
        <w:rPr>
          <w:sz w:val="30"/>
          <w:szCs w:val="30"/>
        </w:rPr>
      </w:pPr>
      <w:r>
        <w:rPr>
          <w:rFonts w:hint="eastAsia"/>
          <w:sz w:val="30"/>
          <w:szCs w:val="30"/>
        </w:rPr>
        <w:t>（二）与举办方负责人和其他相关人员进行电话、书信、邮件、访谈、问卷等形式的沟通；</w:t>
      </w:r>
    </w:p>
    <w:p w14:paraId="04DB749B">
      <w:pPr>
        <w:autoSpaceDE/>
        <w:autoSpaceDN/>
        <w:spacing w:line="560" w:lineRule="exact"/>
        <w:ind w:firstLine="600" w:firstLineChars="200"/>
        <w:jc w:val="both"/>
        <w:rPr>
          <w:sz w:val="30"/>
          <w:szCs w:val="30"/>
        </w:rPr>
      </w:pPr>
      <w:r>
        <w:rPr>
          <w:rFonts w:hint="eastAsia"/>
          <w:sz w:val="30"/>
          <w:szCs w:val="30"/>
        </w:rPr>
        <w:t>（三）向其他知情人士和举报人讯问了解实际情况；</w:t>
      </w:r>
    </w:p>
    <w:p w14:paraId="46A122B4">
      <w:pPr>
        <w:autoSpaceDE/>
        <w:autoSpaceDN/>
        <w:spacing w:line="560" w:lineRule="exact"/>
        <w:ind w:firstLine="600" w:firstLineChars="200"/>
        <w:jc w:val="both"/>
        <w:rPr>
          <w:rFonts w:eastAsiaTheme="minorEastAsia"/>
          <w:sz w:val="30"/>
          <w:szCs w:val="30"/>
        </w:rPr>
      </w:pPr>
      <w:r>
        <w:rPr>
          <w:rFonts w:hint="eastAsia"/>
          <w:sz w:val="30"/>
          <w:szCs w:val="30"/>
        </w:rPr>
        <w:t>（四）参加各有关赛事、活动的临场监督、观摩调研、指导工作，提供必要的分析与总结；</w:t>
      </w:r>
    </w:p>
    <w:p w14:paraId="1C24BECD">
      <w:pPr>
        <w:autoSpaceDE/>
        <w:autoSpaceDN/>
        <w:spacing w:line="560" w:lineRule="exact"/>
        <w:ind w:firstLine="600" w:firstLineChars="200"/>
        <w:jc w:val="both"/>
        <w:rPr>
          <w:sz w:val="30"/>
          <w:szCs w:val="30"/>
        </w:rPr>
      </w:pPr>
      <w:r>
        <w:rPr>
          <w:rFonts w:hint="eastAsia"/>
          <w:sz w:val="30"/>
          <w:szCs w:val="30"/>
        </w:rPr>
        <w:t>（五）调阅、复制有关文件、档案、会议记录等资料；</w:t>
      </w:r>
    </w:p>
    <w:p w14:paraId="75104DA6">
      <w:pPr>
        <w:autoSpaceDE/>
        <w:autoSpaceDN/>
        <w:spacing w:line="560" w:lineRule="exact"/>
        <w:ind w:firstLine="600" w:firstLineChars="200"/>
        <w:jc w:val="both"/>
        <w:rPr>
          <w:sz w:val="30"/>
          <w:szCs w:val="30"/>
        </w:rPr>
      </w:pPr>
      <w:r>
        <w:rPr>
          <w:rFonts w:hint="eastAsia"/>
          <w:sz w:val="30"/>
          <w:szCs w:val="30"/>
        </w:rPr>
        <w:t>（六）列席赛事有关会议。</w:t>
      </w:r>
    </w:p>
    <w:p w14:paraId="19D9FD60">
      <w:pPr>
        <w:autoSpaceDE/>
        <w:autoSpaceDN/>
        <w:spacing w:line="560" w:lineRule="exact"/>
        <w:ind w:firstLine="602" w:firstLineChars="200"/>
        <w:jc w:val="both"/>
        <w:rPr>
          <w:rFonts w:eastAsiaTheme="minorEastAsia"/>
          <w:b/>
          <w:bCs/>
          <w:sz w:val="30"/>
          <w:szCs w:val="30"/>
        </w:rPr>
      </w:pPr>
      <w:r>
        <w:rPr>
          <w:rFonts w:hint="eastAsia"/>
          <w:b/>
          <w:bCs/>
          <w:sz w:val="30"/>
          <w:szCs w:val="30"/>
        </w:rPr>
        <w:t>第十四条 监管方式</w:t>
      </w:r>
    </w:p>
    <w:p w14:paraId="5721062F">
      <w:pPr>
        <w:autoSpaceDE/>
        <w:autoSpaceDN/>
        <w:spacing w:line="560" w:lineRule="exact"/>
        <w:ind w:firstLine="600" w:firstLineChars="200"/>
        <w:jc w:val="both"/>
        <w:rPr>
          <w:sz w:val="30"/>
          <w:szCs w:val="30"/>
        </w:rPr>
      </w:pPr>
      <w:r>
        <w:rPr>
          <w:rFonts w:hint="eastAsia"/>
          <w:sz w:val="30"/>
          <w:szCs w:val="30"/>
        </w:rPr>
        <w:t>（一）赛事监管工作组承担监管职责，不应代位决策和妨碍原始工作结果，不应介入监管对象的实际工作</w:t>
      </w:r>
      <w:r>
        <w:rPr>
          <w:rFonts w:hint="eastAsia"/>
          <w:sz w:val="30"/>
          <w:szCs w:val="30"/>
          <w:lang w:eastAsia="zh-CN"/>
        </w:rPr>
        <w:t>（</w:t>
      </w:r>
      <w:r>
        <w:rPr>
          <w:rFonts w:hint="eastAsia"/>
          <w:sz w:val="30"/>
          <w:szCs w:val="30"/>
          <w:lang w:val="en-US" w:eastAsia="zh-CN"/>
        </w:rPr>
        <w:t>除非得到邀请</w:t>
      </w:r>
      <w:r>
        <w:rPr>
          <w:rFonts w:hint="eastAsia"/>
          <w:sz w:val="30"/>
          <w:szCs w:val="30"/>
          <w:lang w:eastAsia="zh-CN"/>
        </w:rPr>
        <w:t>）</w:t>
      </w:r>
      <w:r>
        <w:rPr>
          <w:rFonts w:hint="eastAsia"/>
          <w:sz w:val="30"/>
          <w:szCs w:val="30"/>
        </w:rPr>
        <w:t>，不干涉裁判员临场判罚，不应代位履行处罚职责和因监管工作产生的工作怠慢情况。</w:t>
      </w:r>
    </w:p>
    <w:p w14:paraId="09BAD45D">
      <w:pPr>
        <w:autoSpaceDE/>
        <w:autoSpaceDN/>
        <w:spacing w:line="560" w:lineRule="exact"/>
        <w:ind w:firstLine="600" w:firstLineChars="200"/>
        <w:jc w:val="both"/>
        <w:rPr>
          <w:sz w:val="30"/>
          <w:szCs w:val="30"/>
        </w:rPr>
      </w:pPr>
      <w:r>
        <w:rPr>
          <w:rFonts w:hint="eastAsia"/>
          <w:sz w:val="30"/>
          <w:szCs w:val="30"/>
        </w:rPr>
        <w:t>（二）监管工作中发现的违规现象，</w:t>
      </w:r>
      <w:r>
        <w:rPr>
          <w:rFonts w:hint="eastAsia"/>
          <w:sz w:val="30"/>
          <w:szCs w:val="30"/>
          <w:lang w:val="en-US" w:eastAsia="zh-CN"/>
        </w:rPr>
        <w:t>视情</w:t>
      </w:r>
      <w:r>
        <w:rPr>
          <w:rFonts w:hint="eastAsia"/>
          <w:sz w:val="30"/>
          <w:szCs w:val="30"/>
        </w:rPr>
        <w:t>进行提醒</w:t>
      </w:r>
      <w:r>
        <w:rPr>
          <w:rFonts w:hint="eastAsia"/>
          <w:sz w:val="30"/>
          <w:szCs w:val="30"/>
          <w:lang w:val="en-US" w:eastAsia="zh-CN"/>
        </w:rPr>
        <w:t>和</w:t>
      </w:r>
      <w:r>
        <w:rPr>
          <w:rFonts w:hint="eastAsia"/>
          <w:sz w:val="30"/>
          <w:szCs w:val="30"/>
        </w:rPr>
        <w:t>整改建议。</w:t>
      </w:r>
      <w:r>
        <w:rPr>
          <w:rFonts w:hint="eastAsia"/>
          <w:sz w:val="30"/>
          <w:szCs w:val="30"/>
          <w:lang w:val="en-US" w:eastAsia="zh-CN"/>
        </w:rPr>
        <w:t>如</w:t>
      </w:r>
      <w:r>
        <w:rPr>
          <w:rFonts w:ascii="Arial" w:hAnsi="Arial" w:cs="Arial"/>
          <w:color w:val="333333"/>
          <w:sz w:val="30"/>
          <w:szCs w:val="30"/>
          <w:shd w:val="clear" w:color="auto" w:fill="FFFFFF"/>
        </w:rPr>
        <w:t>逾期拒不整改或者整改后仍不符合要求的，依</w:t>
      </w:r>
      <w:r>
        <w:rPr>
          <w:rFonts w:hint="eastAsia" w:ascii="Arial" w:hAnsi="Arial" w:cs="Arial"/>
          <w:color w:val="333333"/>
          <w:sz w:val="30"/>
          <w:szCs w:val="30"/>
          <w:shd w:val="clear" w:color="auto" w:fill="FFFFFF"/>
        </w:rPr>
        <w:t>规</w:t>
      </w:r>
      <w:r>
        <w:rPr>
          <w:rFonts w:hint="eastAsia" w:ascii="Arial" w:hAnsi="Arial" w:cs="Arial"/>
          <w:color w:val="333333"/>
          <w:sz w:val="30"/>
          <w:szCs w:val="30"/>
          <w:shd w:val="clear" w:color="auto" w:fill="FFFFFF"/>
          <w:lang w:val="en-US" w:eastAsia="zh-CN"/>
        </w:rPr>
        <w:t>给予处罚</w:t>
      </w:r>
      <w:r>
        <w:rPr>
          <w:rFonts w:ascii="Arial" w:hAnsi="Arial" w:cs="Arial"/>
          <w:color w:val="333333"/>
          <w:sz w:val="30"/>
          <w:szCs w:val="30"/>
          <w:shd w:val="clear" w:color="auto" w:fill="FFFFFF"/>
        </w:rPr>
        <w:t>。</w:t>
      </w:r>
      <w:r>
        <w:rPr>
          <w:rFonts w:hint="eastAsia"/>
          <w:sz w:val="30"/>
          <w:szCs w:val="30"/>
        </w:rPr>
        <w:t>对于超出监管权利范围的违规事项与风险，应及时与中国篮协和主管单位进行报告。</w:t>
      </w:r>
    </w:p>
    <w:p w14:paraId="62776352">
      <w:pPr>
        <w:autoSpaceDE/>
        <w:autoSpaceDN/>
        <w:spacing w:line="560" w:lineRule="exact"/>
        <w:ind w:firstLine="600" w:firstLineChars="200"/>
        <w:jc w:val="both"/>
        <w:rPr>
          <w:rFonts w:ascii="Arial" w:hAnsi="Arial" w:cs="Arial"/>
          <w:color w:val="333333"/>
          <w:sz w:val="30"/>
          <w:szCs w:val="30"/>
        </w:rPr>
      </w:pPr>
      <w:r>
        <w:rPr>
          <w:rFonts w:hint="eastAsia"/>
          <w:sz w:val="30"/>
          <w:szCs w:val="30"/>
        </w:rPr>
        <w:t>（三） 监管工作需遵守中国篮协和主管单位的相关规章制度</w:t>
      </w:r>
      <w:r>
        <w:rPr>
          <w:rFonts w:hint="eastAsia"/>
          <w:sz w:val="30"/>
          <w:szCs w:val="30"/>
          <w:lang w:eastAsia="zh-CN"/>
        </w:rPr>
        <w:t>，</w:t>
      </w:r>
      <w:r>
        <w:rPr>
          <w:rFonts w:hint="eastAsia"/>
          <w:sz w:val="30"/>
          <w:szCs w:val="30"/>
          <w:lang w:val="en-US" w:eastAsia="zh-CN"/>
        </w:rPr>
        <w:t>明确监督职责和权限，增强监管工作的专业性和针对性，确保监督的全面和公正公平，发挥政府监督、行业监督、群众监督、舆论监督的协同合力。</w:t>
      </w:r>
    </w:p>
    <w:p w14:paraId="5609108F">
      <w:pPr>
        <w:pStyle w:val="7"/>
        <w:shd w:val="clear" w:color="auto" w:fill="FFFFFF"/>
        <w:autoSpaceDE/>
        <w:autoSpaceDN/>
        <w:spacing w:before="0" w:beforeAutospacing="0" w:after="0" w:afterAutospacing="0" w:line="560" w:lineRule="exact"/>
        <w:ind w:firstLine="602" w:firstLineChars="200"/>
        <w:jc w:val="both"/>
        <w:rPr>
          <w:rFonts w:ascii="仿宋" w:hAnsi="仿宋"/>
          <w:sz w:val="30"/>
          <w:szCs w:val="30"/>
        </w:rPr>
      </w:pPr>
      <w:r>
        <w:rPr>
          <w:rFonts w:hint="eastAsia" w:ascii="仿宋" w:hAnsi="仿宋" w:cs="仿宋"/>
          <w:b/>
          <w:bCs/>
          <w:sz w:val="30"/>
          <w:szCs w:val="30"/>
        </w:rPr>
        <w:t>第十五条 发现与受理</w:t>
      </w:r>
    </w:p>
    <w:p w14:paraId="031F1247">
      <w:pPr>
        <w:pStyle w:val="14"/>
        <w:autoSpaceDE/>
        <w:autoSpaceDN/>
        <w:spacing w:before="0" w:line="560" w:lineRule="exact"/>
        <w:ind w:left="0" w:firstLine="600" w:firstLineChars="200"/>
        <w:jc w:val="both"/>
        <w:rPr>
          <w:rFonts w:ascii="仿宋" w:hAnsi="仿宋" w:eastAsia="仿宋" w:cs="仿宋"/>
          <w:sz w:val="30"/>
          <w:szCs w:val="30"/>
        </w:rPr>
      </w:pPr>
      <w:r>
        <w:rPr>
          <w:rFonts w:hint="eastAsia" w:ascii="仿宋" w:hAnsi="仿宋" w:eastAsia="仿宋" w:cs="仿宋"/>
          <w:sz w:val="30"/>
          <w:szCs w:val="30"/>
        </w:rPr>
        <w:t>赛事监督工作组、中国篮协或其授权联赛管理单位和地方体育行政主管部门要公开问题反映途径，畅通信访和举报渠道</w:t>
      </w:r>
      <w:r>
        <w:rPr>
          <w:rFonts w:hint="eastAsia" w:ascii="仿宋" w:hAnsi="仿宋" w:eastAsia="仿宋" w:cs="仿宋"/>
          <w:sz w:val="30"/>
          <w:szCs w:val="30"/>
          <w:lang w:eastAsia="zh-CN"/>
        </w:rPr>
        <w:t>（</w:t>
      </w:r>
      <w:r>
        <w:rPr>
          <w:rFonts w:hint="eastAsia" w:ascii="仿宋" w:hAnsi="仿宋" w:eastAsia="仿宋" w:cs="仿宋"/>
          <w:sz w:val="30"/>
          <w:szCs w:val="30"/>
        </w:rPr>
        <w:t>详见《中国篮球协会赛风赛纪管理办法》</w:t>
      </w:r>
      <w:r>
        <w:rPr>
          <w:rFonts w:hint="eastAsia" w:ascii="仿宋" w:hAnsi="仿宋" w:eastAsia="仿宋" w:cs="仿宋"/>
          <w:sz w:val="30"/>
          <w:szCs w:val="30"/>
          <w:lang w:eastAsia="zh-CN"/>
        </w:rPr>
        <w:t>）</w:t>
      </w:r>
      <w:r>
        <w:rPr>
          <w:rFonts w:hint="eastAsia" w:ascii="仿宋" w:hAnsi="仿宋" w:eastAsia="仿宋" w:cs="仿宋"/>
          <w:sz w:val="30"/>
          <w:szCs w:val="30"/>
        </w:rPr>
        <w:t>，接受各方对赛事安全和赛风赛纪违规行为的举报和投诉。</w:t>
      </w:r>
    </w:p>
    <w:p w14:paraId="544F9A15">
      <w:pPr>
        <w:pStyle w:val="7"/>
        <w:shd w:val="clear" w:color="auto" w:fill="FFFFFF"/>
        <w:autoSpaceDE/>
        <w:autoSpaceDN/>
        <w:spacing w:before="0" w:beforeAutospacing="0" w:after="0" w:afterAutospacing="0" w:line="560" w:lineRule="exact"/>
        <w:ind w:firstLine="600" w:firstLineChars="200"/>
        <w:jc w:val="both"/>
        <w:rPr>
          <w:rFonts w:ascii="仿宋" w:hAnsi="仿宋" w:cs="仿宋"/>
          <w:sz w:val="30"/>
          <w:szCs w:val="30"/>
        </w:rPr>
      </w:pPr>
      <w:r>
        <w:rPr>
          <w:rFonts w:ascii="仿宋" w:hAnsi="仿宋" w:cs="仿宋"/>
          <w:sz w:val="30"/>
          <w:szCs w:val="30"/>
        </w:rPr>
        <w:t>赛事活动中发现有涉嫌不符合条件、标准、规则等规定情形的，或收到有关单位、个人提出相关投诉的，应当及时查处，约谈其主要负责人，要求及时采取有效措施消除风险或隐患</w:t>
      </w:r>
      <w:r>
        <w:rPr>
          <w:rFonts w:hint="eastAsia" w:ascii="仿宋" w:hAnsi="仿宋" w:cs="仿宋"/>
          <w:sz w:val="30"/>
          <w:szCs w:val="30"/>
          <w:lang w:eastAsia="zh-CN"/>
        </w:rPr>
        <w:t>，</w:t>
      </w:r>
      <w:r>
        <w:rPr>
          <w:rFonts w:ascii="仿宋" w:hAnsi="仿宋" w:cs="仿宋"/>
          <w:sz w:val="30"/>
          <w:szCs w:val="30"/>
        </w:rPr>
        <w:t>督促整改。</w:t>
      </w:r>
    </w:p>
    <w:p w14:paraId="6D08CD28">
      <w:pPr>
        <w:pStyle w:val="14"/>
        <w:autoSpaceDE/>
        <w:autoSpaceDN/>
        <w:spacing w:before="0" w:line="560" w:lineRule="exact"/>
        <w:ind w:left="0" w:firstLine="602" w:firstLineChars="200"/>
        <w:jc w:val="both"/>
        <w:rPr>
          <w:rFonts w:ascii="仿宋" w:hAnsi="仿宋" w:eastAsia="仿宋"/>
          <w:sz w:val="30"/>
          <w:szCs w:val="30"/>
        </w:rPr>
      </w:pPr>
      <w:r>
        <w:rPr>
          <w:rFonts w:hint="eastAsia" w:ascii="仿宋" w:hAnsi="仿宋" w:eastAsia="仿宋" w:cs="仿宋"/>
          <w:b/>
          <w:bCs/>
          <w:sz w:val="30"/>
          <w:szCs w:val="30"/>
        </w:rPr>
        <w:t>第十六条 报告与调查</w:t>
      </w:r>
    </w:p>
    <w:p w14:paraId="3A0771D4">
      <w:pPr>
        <w:pStyle w:val="14"/>
        <w:autoSpaceDE/>
        <w:autoSpaceDN/>
        <w:spacing w:before="0" w:line="560" w:lineRule="exact"/>
        <w:ind w:left="0" w:firstLine="600" w:firstLineChars="200"/>
        <w:jc w:val="both"/>
        <w:rPr>
          <w:rFonts w:ascii="仿宋" w:hAnsi="仿宋" w:eastAsia="仿宋" w:cs="仿宋"/>
          <w:sz w:val="30"/>
          <w:szCs w:val="30"/>
        </w:rPr>
      </w:pPr>
      <w:r>
        <w:rPr>
          <w:rFonts w:ascii="仿宋" w:hAnsi="仿宋" w:eastAsia="仿宋"/>
          <w:sz w:val="30"/>
          <w:szCs w:val="30"/>
        </w:rPr>
        <w:t>对举报和投诉</w:t>
      </w:r>
      <w:r>
        <w:rPr>
          <w:rFonts w:hint="eastAsia" w:ascii="仿宋" w:hAnsi="仿宋" w:eastAsia="仿宋"/>
          <w:sz w:val="30"/>
          <w:szCs w:val="30"/>
        </w:rPr>
        <w:t>问题要进行分析研判，对于可查性问题线索，及时开展</w:t>
      </w:r>
      <w:r>
        <w:rPr>
          <w:rFonts w:hint="default" w:ascii="仿宋" w:hAnsi="仿宋" w:eastAsia="仿宋" w:cs="仿宋"/>
          <w:sz w:val="30"/>
          <w:szCs w:val="30"/>
        </w:rPr>
        <w:t>调查处理；对于苗头性、一般性的问题，及时提醒业务部门加强防范。</w:t>
      </w:r>
      <w:r>
        <w:rPr>
          <w:rFonts w:ascii="仿宋" w:hAnsi="仿宋" w:eastAsia="仿宋" w:cs="仿宋"/>
          <w:sz w:val="30"/>
          <w:szCs w:val="30"/>
          <w:shd w:val="clear"/>
        </w:rPr>
        <w:t>对于类似违规办赛、低质办赛、虚报信息、消极比赛、使用兴奋剂等</w:t>
      </w:r>
      <w:r>
        <w:rPr>
          <w:rFonts w:hint="default" w:ascii="仿宋" w:hAnsi="仿宋" w:eastAsia="仿宋" w:cs="仿宋"/>
          <w:sz w:val="30"/>
          <w:szCs w:val="30"/>
          <w:shd w:val="clear"/>
          <w:lang w:val="en-US" w:eastAsia="zh-CN"/>
        </w:rPr>
        <w:t>问题，联合</w:t>
      </w:r>
      <w:r>
        <w:rPr>
          <w:rFonts w:ascii="仿宋" w:hAnsi="仿宋" w:eastAsia="仿宋" w:cs="仿宋"/>
          <w:sz w:val="30"/>
          <w:szCs w:val="30"/>
          <w:shd w:val="clear"/>
        </w:rPr>
        <w:t>相关部门开展调查、弄清事实，严格依法依规处理，并公开处理结果，及时回应社会关切。</w:t>
      </w:r>
      <w:r>
        <w:rPr>
          <w:rFonts w:hint="default" w:ascii="仿宋" w:hAnsi="仿宋" w:eastAsia="仿宋" w:cs="仿宋"/>
          <w:sz w:val="30"/>
          <w:szCs w:val="30"/>
        </w:rPr>
        <w:t>发现重大违规违纪问题第一时间向</w:t>
      </w:r>
      <w:r>
        <w:rPr>
          <w:rFonts w:hint="default" w:ascii="仿宋" w:hAnsi="仿宋" w:eastAsia="仿宋" w:cs="仿宋"/>
          <w:sz w:val="30"/>
          <w:szCs w:val="30"/>
          <w:lang w:val="en-US" w:eastAsia="zh-CN"/>
        </w:rPr>
        <w:t>主管部门</w:t>
      </w:r>
      <w:r>
        <w:rPr>
          <w:rFonts w:hint="default" w:ascii="仿宋" w:hAnsi="仿宋" w:eastAsia="仿宋" w:cs="仿宋"/>
          <w:sz w:val="30"/>
          <w:szCs w:val="30"/>
        </w:rPr>
        <w:t>报告，必要时提请协调公安部门帮助调查。</w:t>
      </w:r>
    </w:p>
    <w:p w14:paraId="3E16F224">
      <w:pPr>
        <w:pStyle w:val="7"/>
        <w:numPr>
          <w:ilvl w:val="-1"/>
          <w:numId w:val="0"/>
        </w:numPr>
        <w:shd w:val="clear" w:color="auto" w:fill="FFFFFF"/>
        <w:autoSpaceDE/>
        <w:autoSpaceDN/>
        <w:spacing w:before="0" w:beforeAutospacing="0" w:after="0" w:afterAutospacing="0" w:line="560" w:lineRule="exact"/>
        <w:ind w:left="0" w:leftChars="0" w:firstLine="602" w:firstLineChars="200"/>
        <w:jc w:val="both"/>
        <w:rPr>
          <w:rFonts w:ascii="仿宋" w:hAnsi="仿宋" w:cs="仿宋"/>
          <w:b/>
          <w:bCs/>
          <w:sz w:val="30"/>
          <w:szCs w:val="30"/>
        </w:rPr>
      </w:pPr>
      <w:r>
        <w:rPr>
          <w:rFonts w:hint="eastAsia" w:ascii="仿宋" w:hAnsi="仿宋" w:cs="仿宋"/>
          <w:b/>
          <w:bCs/>
          <w:sz w:val="30"/>
          <w:szCs w:val="30"/>
        </w:rPr>
        <w:t>第十七条 处理与反馈</w:t>
      </w:r>
    </w:p>
    <w:p w14:paraId="6CEF09C1">
      <w:pPr>
        <w:pStyle w:val="14"/>
        <w:autoSpaceDE/>
        <w:autoSpaceDN/>
        <w:spacing w:before="0" w:line="560" w:lineRule="exact"/>
        <w:ind w:left="0" w:firstLine="600" w:firstLineChars="200"/>
        <w:jc w:val="both"/>
        <w:rPr>
          <w:rFonts w:ascii="仿宋" w:hAnsi="仿宋" w:eastAsia="仿宋"/>
          <w:sz w:val="30"/>
          <w:szCs w:val="30"/>
        </w:rPr>
      </w:pPr>
      <w:r>
        <w:rPr>
          <w:rFonts w:hint="eastAsia" w:ascii="仿宋" w:hAnsi="仿宋" w:eastAsia="仿宋"/>
          <w:sz w:val="30"/>
          <w:szCs w:val="30"/>
        </w:rPr>
        <w:t>依法依规</w:t>
      </w:r>
      <w:r>
        <w:rPr>
          <w:rFonts w:ascii="仿宋" w:hAnsi="仿宋" w:eastAsia="仿宋"/>
          <w:sz w:val="30"/>
          <w:szCs w:val="30"/>
        </w:rPr>
        <w:t>对</w:t>
      </w:r>
      <w:r>
        <w:rPr>
          <w:rFonts w:hint="eastAsia" w:ascii="仿宋" w:hAnsi="仿宋" w:eastAsia="仿宋"/>
          <w:sz w:val="30"/>
          <w:szCs w:val="30"/>
        </w:rPr>
        <w:t>“假赌黑”等</w:t>
      </w:r>
      <w:r>
        <w:rPr>
          <w:rFonts w:ascii="仿宋" w:hAnsi="仿宋" w:eastAsia="仿宋"/>
          <w:sz w:val="30"/>
          <w:szCs w:val="30"/>
        </w:rPr>
        <w:t>违规</w:t>
      </w:r>
      <w:r>
        <w:rPr>
          <w:rFonts w:hint="eastAsia" w:ascii="仿宋" w:hAnsi="仿宋" w:eastAsia="仿宋"/>
          <w:sz w:val="30"/>
          <w:szCs w:val="30"/>
        </w:rPr>
        <w:t>违纪问题进行处理，</w:t>
      </w:r>
      <w:r>
        <w:rPr>
          <w:rFonts w:ascii="仿宋" w:hAnsi="仿宋" w:eastAsia="仿宋"/>
          <w:sz w:val="30"/>
          <w:szCs w:val="30"/>
        </w:rPr>
        <w:t>涉嫌违法犯罪，应当移交司法机关处理。</w:t>
      </w:r>
      <w:r>
        <w:rPr>
          <w:rFonts w:hint="eastAsia" w:ascii="仿宋" w:hAnsi="仿宋" w:eastAsia="仿宋"/>
          <w:sz w:val="30"/>
          <w:szCs w:val="30"/>
        </w:rPr>
        <w:t>调查处理情况及时通报，提高监督管理透明度。调查</w:t>
      </w:r>
      <w:r>
        <w:rPr>
          <w:rFonts w:ascii="仿宋" w:hAnsi="仿宋" w:eastAsia="仿宋"/>
          <w:sz w:val="30"/>
          <w:szCs w:val="30"/>
        </w:rPr>
        <w:t>处理结果及时反馈给相关方</w:t>
      </w:r>
      <w:r>
        <w:rPr>
          <w:rFonts w:hint="eastAsia" w:ascii="仿宋" w:hAnsi="仿宋" w:eastAsia="仿宋"/>
          <w:sz w:val="30"/>
          <w:szCs w:val="30"/>
        </w:rPr>
        <w:t>，完善联赛组织管理工作，预防同类问题发生。</w:t>
      </w:r>
      <w:r>
        <w:rPr>
          <w:rFonts w:ascii="仿宋" w:hAnsi="仿宋" w:eastAsia="仿宋"/>
          <w:sz w:val="30"/>
          <w:szCs w:val="30"/>
        </w:rPr>
        <w:t>相关处理情况，应当向投诉举报人反馈。</w:t>
      </w:r>
    </w:p>
    <w:p w14:paraId="57CE1778">
      <w:pPr>
        <w:pStyle w:val="14"/>
        <w:autoSpaceDE/>
        <w:autoSpaceDN/>
        <w:spacing w:before="0" w:line="560" w:lineRule="exact"/>
        <w:ind w:left="0" w:firstLine="600" w:firstLineChars="200"/>
        <w:jc w:val="both"/>
        <w:rPr>
          <w:rFonts w:ascii="仿宋" w:hAnsi="仿宋" w:eastAsia="仿宋"/>
          <w:sz w:val="30"/>
          <w:szCs w:val="30"/>
        </w:rPr>
      </w:pPr>
      <w:r>
        <w:rPr>
          <w:rFonts w:ascii="仿宋" w:hAnsi="仿宋" w:eastAsia="仿宋"/>
          <w:sz w:val="30"/>
          <w:szCs w:val="30"/>
        </w:rPr>
        <w:t>各类赛事活动组织机构、赛事活动相关人员在赛事活动中的行为涉嫌违法的，由各级体育部门配合公安、市场监管等部门依法处理。</w:t>
      </w:r>
    </w:p>
    <w:p w14:paraId="5D52CD05">
      <w:pPr>
        <w:pStyle w:val="14"/>
        <w:numPr>
          <w:ilvl w:val="255"/>
          <w:numId w:val="0"/>
        </w:numPr>
        <w:autoSpaceDE/>
        <w:autoSpaceDN/>
        <w:spacing w:before="0" w:line="560" w:lineRule="exact"/>
        <w:ind w:firstLine="602" w:firstLineChars="200"/>
        <w:jc w:val="both"/>
        <w:rPr>
          <w:rFonts w:ascii="仿宋" w:hAnsi="仿宋" w:eastAsia="仿宋" w:cs="仿宋"/>
          <w:b/>
          <w:bCs/>
          <w:sz w:val="30"/>
          <w:szCs w:val="30"/>
        </w:rPr>
      </w:pPr>
      <w:r>
        <w:rPr>
          <w:rFonts w:hint="eastAsia" w:ascii="仿宋" w:hAnsi="仿宋" w:eastAsia="仿宋" w:cs="仿宋"/>
          <w:b/>
          <w:bCs/>
          <w:sz w:val="30"/>
          <w:szCs w:val="30"/>
        </w:rPr>
        <w:t>第十八条 追责与问责</w:t>
      </w:r>
    </w:p>
    <w:p w14:paraId="7A6B19E2">
      <w:pPr>
        <w:pStyle w:val="7"/>
        <w:shd w:val="clear" w:color="auto" w:fill="FFFFFF"/>
        <w:autoSpaceDE/>
        <w:autoSpaceDN/>
        <w:spacing w:before="0" w:beforeAutospacing="0" w:after="0" w:afterAutospacing="0" w:line="560" w:lineRule="exact"/>
        <w:ind w:firstLine="600" w:firstLineChars="200"/>
        <w:jc w:val="both"/>
        <w:rPr>
          <w:rFonts w:hint="default" w:ascii="Arial" w:hAnsi="Arial" w:eastAsia="仿宋" w:cs="Arial"/>
          <w:color w:val="333333"/>
          <w:sz w:val="30"/>
          <w:szCs w:val="30"/>
          <w:lang w:val="en-US" w:eastAsia="zh-CN"/>
        </w:rPr>
      </w:pPr>
      <w:r>
        <w:rPr>
          <w:rFonts w:hint="eastAsia" w:ascii="仿宋" w:hAnsi="仿宋"/>
          <w:sz w:val="30"/>
          <w:szCs w:val="30"/>
        </w:rPr>
        <w:t>相关赛事监督管理单位或个人在工作中玩忽职守、失职失责，造成恶劣影响的，由主管单位牵头依据有关规定予以追责问责。</w:t>
      </w:r>
      <w:r>
        <w:rPr>
          <w:rFonts w:hint="eastAsia" w:ascii="serif" w:hAnsi="serif" w:cs="serif"/>
          <w:color w:val="000000"/>
          <w:sz w:val="30"/>
          <w:szCs w:val="30"/>
          <w:shd w:val="clear" w:color="auto" w:fill="FFFFFF"/>
        </w:rPr>
        <w:t>对违反规定不支持配合监管工作，造成严重后果的，依据有关规定追究相关责任人员的责任。</w:t>
      </w:r>
      <w:r>
        <w:rPr>
          <w:rFonts w:ascii="Arial" w:hAnsi="Arial" w:cs="Arial"/>
          <w:color w:val="333333"/>
          <w:sz w:val="30"/>
          <w:szCs w:val="30"/>
          <w:shd w:val="clear" w:color="auto" w:fill="FFFFFF"/>
        </w:rPr>
        <w:t>对不符合规定条件、标准、规则，涉及体育赛事活动重大安全的行为</w:t>
      </w:r>
      <w:r>
        <w:rPr>
          <w:rFonts w:hint="eastAsia" w:ascii="Arial" w:hAnsi="Arial" w:cs="Arial"/>
          <w:color w:val="333333"/>
          <w:sz w:val="30"/>
          <w:szCs w:val="30"/>
          <w:shd w:val="clear" w:color="auto" w:fill="FFFFFF"/>
        </w:rPr>
        <w:t>，</w:t>
      </w:r>
      <w:r>
        <w:rPr>
          <w:rFonts w:ascii="Arial" w:hAnsi="Arial" w:cs="Arial"/>
          <w:color w:val="333333"/>
          <w:sz w:val="30"/>
          <w:szCs w:val="30"/>
          <w:shd w:val="clear" w:color="auto" w:fill="FFFFFF"/>
        </w:rPr>
        <w:t>依法</w:t>
      </w:r>
      <w:r>
        <w:rPr>
          <w:rFonts w:hint="eastAsia" w:ascii="Arial" w:hAnsi="Arial" w:cs="Arial"/>
          <w:color w:val="333333"/>
          <w:sz w:val="30"/>
          <w:szCs w:val="30"/>
          <w:shd w:val="clear" w:color="auto" w:fill="FFFFFF"/>
        </w:rPr>
        <w:t>依规</w:t>
      </w:r>
      <w:r>
        <w:rPr>
          <w:rFonts w:ascii="Arial" w:hAnsi="Arial" w:cs="Arial"/>
          <w:color w:val="333333"/>
          <w:sz w:val="30"/>
          <w:szCs w:val="30"/>
          <w:shd w:val="clear" w:color="auto" w:fill="FFFFFF"/>
        </w:rPr>
        <w:t>实施相应处理和处罚。</w:t>
      </w:r>
    </w:p>
    <w:p w14:paraId="48F150F3">
      <w:pPr>
        <w:pStyle w:val="14"/>
        <w:spacing w:before="0" w:line="560" w:lineRule="exact"/>
        <w:ind w:left="0" w:firstLine="0"/>
        <w:rPr>
          <w:rFonts w:ascii="仿宋" w:hAnsi="仿宋" w:eastAsia="仿宋"/>
          <w:sz w:val="30"/>
          <w:szCs w:val="30"/>
        </w:rPr>
      </w:pPr>
    </w:p>
    <w:p w14:paraId="061B1F3F">
      <w:pPr>
        <w:spacing w:line="560" w:lineRule="exact"/>
        <w:jc w:val="center"/>
        <w:rPr>
          <w:rFonts w:ascii="黑体" w:hAnsi="黑体" w:eastAsia="黑体"/>
          <w:sz w:val="30"/>
          <w:szCs w:val="30"/>
        </w:rPr>
      </w:pPr>
      <w:r>
        <w:rPr>
          <w:rFonts w:hint="eastAsia" w:ascii="黑体" w:hAnsi="黑体" w:eastAsia="黑体"/>
          <w:sz w:val="32"/>
          <w:szCs w:val="32"/>
        </w:rPr>
        <w:t>第五章  附 则</w:t>
      </w:r>
    </w:p>
    <w:p w14:paraId="7503A145">
      <w:pPr>
        <w:pStyle w:val="14"/>
        <w:autoSpaceDE/>
        <w:autoSpaceDN/>
        <w:spacing w:before="0" w:line="560" w:lineRule="exact"/>
        <w:ind w:left="0" w:firstLine="600" w:firstLineChars="200"/>
        <w:jc w:val="both"/>
        <w:rPr>
          <w:rFonts w:ascii="黑体" w:hAnsi="黑体" w:eastAsia="黑体"/>
          <w:sz w:val="30"/>
          <w:szCs w:val="30"/>
        </w:rPr>
      </w:pPr>
    </w:p>
    <w:p w14:paraId="384577AE">
      <w:pPr>
        <w:pStyle w:val="7"/>
        <w:numPr>
          <w:ilvl w:val="255"/>
          <w:numId w:val="0"/>
        </w:numPr>
        <w:shd w:val="clear" w:color="auto" w:fill="FFFFFF"/>
        <w:autoSpaceDE/>
        <w:autoSpaceDN/>
        <w:spacing w:before="0" w:beforeAutospacing="0" w:after="0" w:afterAutospacing="0" w:line="560" w:lineRule="exact"/>
        <w:ind w:firstLine="602" w:firstLineChars="200"/>
        <w:jc w:val="both"/>
        <w:rPr>
          <w:rFonts w:hint="eastAsia" w:ascii="serif" w:hAnsi="serif" w:cs="serif"/>
          <w:color w:val="000000"/>
          <w:sz w:val="30"/>
          <w:szCs w:val="30"/>
          <w:shd w:val="clear" w:color="auto" w:fill="FFFFFF"/>
        </w:rPr>
      </w:pPr>
      <w:r>
        <w:rPr>
          <w:rFonts w:hint="eastAsia" w:ascii="仿宋" w:hAnsi="仿宋" w:cs="仿宋"/>
          <w:b/>
          <w:bCs/>
          <w:sz w:val="30"/>
          <w:szCs w:val="30"/>
        </w:rPr>
        <w:t xml:space="preserve">第十九条 </w:t>
      </w:r>
      <w:r>
        <w:rPr>
          <w:rFonts w:hint="eastAsia" w:ascii="serif" w:hAnsi="serif" w:cs="serif"/>
          <w:color w:val="000000"/>
          <w:sz w:val="30"/>
          <w:szCs w:val="30"/>
          <w:shd w:val="clear" w:color="auto" w:fill="FFFFFF"/>
        </w:rPr>
        <w:t>各类办赛主体和相关人员，应当支持配合监管工作，有义务积极配合体育行政部门、中国篮协和赛事监督人员的实际工作，提供满足实际需要的便利条件，不得消极应对、谎报、瞒报事实。</w:t>
      </w:r>
    </w:p>
    <w:p w14:paraId="688E1C97">
      <w:pPr>
        <w:pStyle w:val="14"/>
        <w:autoSpaceDE/>
        <w:autoSpaceDN/>
        <w:spacing w:before="0" w:line="560" w:lineRule="exact"/>
        <w:ind w:left="0" w:firstLine="602" w:firstLineChars="200"/>
        <w:jc w:val="both"/>
        <w:rPr>
          <w:rFonts w:ascii="仿宋" w:hAnsi="仿宋" w:eastAsia="仿宋"/>
          <w:sz w:val="30"/>
          <w:szCs w:val="30"/>
        </w:rPr>
      </w:pPr>
      <w:r>
        <w:rPr>
          <w:rFonts w:hint="eastAsia" w:ascii="仿宋" w:hAnsi="仿宋" w:eastAsia="仿宋" w:cs="仿宋"/>
          <w:b/>
          <w:bCs/>
          <w:sz w:val="30"/>
          <w:szCs w:val="30"/>
        </w:rPr>
        <w:t xml:space="preserve">第二十条 </w:t>
      </w:r>
      <w:r>
        <w:rPr>
          <w:rFonts w:hint="eastAsia" w:ascii="仿宋" w:hAnsi="仿宋" w:eastAsia="仿宋"/>
          <w:sz w:val="30"/>
          <w:szCs w:val="30"/>
        </w:rPr>
        <w:t>本办法由中国篮协负责解释。</w:t>
      </w:r>
    </w:p>
    <w:p w14:paraId="24E9A5CD">
      <w:pPr>
        <w:pStyle w:val="7"/>
        <w:autoSpaceDE/>
        <w:autoSpaceDN/>
        <w:spacing w:before="0" w:beforeAutospacing="0" w:after="0" w:afterAutospacing="0" w:line="560" w:lineRule="exact"/>
        <w:ind w:firstLine="602" w:firstLineChars="200"/>
        <w:jc w:val="both"/>
        <w:rPr>
          <w:rFonts w:cs="Arial"/>
          <w:b/>
          <w:sz w:val="30"/>
          <w:szCs w:val="30"/>
        </w:rPr>
      </w:pPr>
      <w:r>
        <w:rPr>
          <w:rFonts w:hint="eastAsia" w:ascii="仿宋" w:hAnsi="仿宋" w:cs="仿宋"/>
          <w:b/>
          <w:bCs/>
          <w:sz w:val="30"/>
          <w:szCs w:val="30"/>
        </w:rPr>
        <w:t xml:space="preserve">第二十一条 </w:t>
      </w:r>
      <w:r>
        <w:rPr>
          <w:rFonts w:hint="eastAsia" w:ascii="仿宋" w:hAnsi="仿宋"/>
          <w:sz w:val="30"/>
          <w:szCs w:val="30"/>
        </w:rPr>
        <w:t>本办法自发布之日起实施</w:t>
      </w:r>
      <w:r>
        <w:rPr>
          <w:rFonts w:ascii="仿宋" w:hAnsi="仿宋"/>
          <w:sz w:val="30"/>
          <w:szCs w:val="30"/>
        </w:rPr>
        <w:t>。</w:t>
      </w:r>
    </w:p>
    <w:p w14:paraId="0BAF851D">
      <w:pPr>
        <w:spacing w:line="560" w:lineRule="exact"/>
        <w:rPr>
          <w:rFonts w:ascii="仿宋_GB2312" w:hAnsi="仿宋_GB2312" w:eastAsia="仿宋_GB2312"/>
          <w:sz w:val="30"/>
          <w:szCs w:val="30"/>
        </w:rPr>
      </w:pPr>
    </w:p>
    <w:sectPr>
      <w:footerReference r:id="rId3" w:type="default"/>
      <w:type w:val="continuous"/>
      <w:pgSz w:w="11910" w:h="16840"/>
      <w:pgMar w:top="1400" w:right="1260" w:bottom="1440" w:left="1420" w:header="0" w:footer="1225"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PMingLiU">
    <w:altName w:val="PMingLiU-ExtB"/>
    <w:panose1 w:val="02020500000000000000"/>
    <w:charset w:val="88"/>
    <w:family w:val="roman"/>
    <w:pitch w:val="default"/>
    <w:sig w:usb0="00000000" w:usb1="00000000" w:usb2="00000016" w:usb3="00000000" w:csb0="00100001" w:csb1="00000000"/>
  </w:font>
  <w:font w:name="华文仿宋">
    <w:panose1 w:val="02010600040101010101"/>
    <w:charset w:val="86"/>
    <w:family w:val="auto"/>
    <w:pitch w:val="default"/>
    <w:sig w:usb0="00000287" w:usb1="080F0000" w:usb2="00000000" w:usb3="00000000" w:csb0="0004009F" w:csb1="DFD70000"/>
  </w:font>
  <w:font w:name="&amp;quot">
    <w:altName w:val="Times New Roman"/>
    <w:panose1 w:val="00000000000000000000"/>
    <w:charset w:val="00"/>
    <w:family w:val="roman"/>
    <w:pitch w:val="default"/>
    <w:sig w:usb0="00000000" w:usb1="00000000" w:usb2="00000000" w:usb3="00000000" w:csb0="00000000" w:csb1="00000000"/>
  </w:font>
  <w:font w:name="serif">
    <w:altName w:val="Segoe Print"/>
    <w:panose1 w:val="00000000000000000000"/>
    <w:charset w:val="00"/>
    <w:family w:val="auto"/>
    <w:pitch w:val="default"/>
    <w:sig w:usb0="00000000" w:usb1="00000000" w:usb2="00000000" w:usb3="00000000" w:csb0="00000000" w:csb1="00000000"/>
  </w:font>
  <w:font w:name="仿宋_GB2312">
    <w:altName w:val="仿宋"/>
    <w:panose1 w:val="00000000000000000000"/>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PMingLiU-ExtB">
    <w:panose1 w:val="02020500000000000000"/>
    <w:charset w:val="88"/>
    <w:family w:val="auto"/>
    <w:pitch w:val="default"/>
    <w:sig w:usb0="8000002F" w:usb1="02000008" w:usb2="00000000" w:usb3="00000000" w:csb0="001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8F17F">
    <w:pPr>
      <w:pStyle w:val="3"/>
      <w:spacing w:line="14" w:lineRule="auto"/>
      <w:ind w:left="0"/>
      <w:rPr>
        <w:sz w:val="20"/>
      </w:rPr>
    </w:pPr>
    <w:r>
      <mc:AlternateContent>
        <mc:Choice Requires="wps">
          <w:drawing>
            <wp:anchor distT="0" distB="0" distL="0" distR="0" simplePos="0" relativeHeight="251659264" behindDoc="1" locked="0" layoutInCell="1" allowOverlap="1">
              <wp:simplePos x="0" y="0"/>
              <wp:positionH relativeFrom="page">
                <wp:posOffset>6171565</wp:posOffset>
              </wp:positionH>
              <wp:positionV relativeFrom="page">
                <wp:posOffset>9756140</wp:posOffset>
              </wp:positionV>
              <wp:extent cx="201930" cy="144780"/>
              <wp:effectExtent l="0" t="0" r="0" b="0"/>
              <wp:wrapNone/>
              <wp:docPr id="16" name="Textbox 16"/>
              <wp:cNvGraphicFramePr/>
              <a:graphic xmlns:a="http://schemas.openxmlformats.org/drawingml/2006/main">
                <a:graphicData uri="http://schemas.microsoft.com/office/word/2010/wordprocessingShape">
                  <wps:wsp>
                    <wps:cNvSpPr txBox="1"/>
                    <wps:spPr>
                      <a:xfrm>
                        <a:off x="0" y="0"/>
                        <a:ext cx="201930" cy="144780"/>
                      </a:xfrm>
                      <a:prstGeom prst="rect">
                        <a:avLst/>
                      </a:prstGeom>
                    </wps:spPr>
                    <wps:txbx>
                      <w:txbxContent>
                        <w:p w14:paraId="119C85EA">
                          <w:pPr>
                            <w:spacing w:before="5" w:line="222" w:lineRule="exact"/>
                            <w:ind w:left="20"/>
                            <w:rPr>
                              <w:rFonts w:ascii="等线"/>
                              <w:sz w:val="18"/>
                            </w:rPr>
                          </w:pPr>
                          <w:r>
                            <w:rPr>
                              <w:rFonts w:ascii="等线"/>
                              <w:sz w:val="18"/>
                            </w:rPr>
                            <w:t>-</w:t>
                          </w:r>
                          <w:r>
                            <w:rPr>
                              <w:rFonts w:ascii="等线"/>
                              <w:spacing w:val="-5"/>
                              <w:sz w:val="18"/>
                            </w:rPr>
                            <w:fldChar w:fldCharType="begin"/>
                          </w:r>
                          <w:r>
                            <w:rPr>
                              <w:rFonts w:ascii="等线"/>
                              <w:spacing w:val="-5"/>
                              <w:sz w:val="18"/>
                            </w:rPr>
                            <w:instrText xml:space="preserve"> PAGE </w:instrText>
                          </w:r>
                          <w:r>
                            <w:rPr>
                              <w:rFonts w:ascii="等线"/>
                              <w:spacing w:val="-5"/>
                              <w:sz w:val="18"/>
                            </w:rPr>
                            <w:fldChar w:fldCharType="separate"/>
                          </w:r>
                          <w:r>
                            <w:rPr>
                              <w:rFonts w:ascii="等线"/>
                              <w:spacing w:val="-5"/>
                              <w:sz w:val="18"/>
                            </w:rPr>
                            <w:t>9</w:t>
                          </w:r>
                          <w:r>
                            <w:rPr>
                              <w:rFonts w:ascii="等线"/>
                              <w:spacing w:val="-5"/>
                              <w:sz w:val="18"/>
                            </w:rPr>
                            <w:fldChar w:fldCharType="end"/>
                          </w:r>
                          <w:r>
                            <w:rPr>
                              <w:rFonts w:ascii="等线"/>
                              <w:spacing w:val="-5"/>
                              <w:sz w:val="18"/>
                            </w:rPr>
                            <w:t>-</w:t>
                          </w:r>
                        </w:p>
                      </w:txbxContent>
                    </wps:txbx>
                    <wps:bodyPr wrap="square" lIns="0" tIns="0" rIns="0" bIns="0" rtlCol="0">
                      <a:noAutofit/>
                    </wps:bodyPr>
                  </wps:wsp>
                </a:graphicData>
              </a:graphic>
            </wp:anchor>
          </w:drawing>
        </mc:Choice>
        <mc:Fallback>
          <w:pict>
            <v:shape id="Textbox 16" o:spid="_x0000_s1026" o:spt="202" type="#_x0000_t202" style="position:absolute;left:0pt;margin-left:485.95pt;margin-top:768.2pt;height:11.4pt;width:15.9pt;mso-position-horizontal-relative:page;mso-position-vertical-relative:page;z-index:-251657216;mso-width-relative:page;mso-height-relative:page;" filled="f" stroked="f" coordsize="21600,21600" o:gfxdata="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ys/ch2wAAAA4BAAAPAAAAAAAAAAEAIAAAACIAAABkcnMvZG93bnJldi54bWxQSwECFAAUAAAA&#10;CACHTuJADeOylbIBAAB1AwAADgAAAAAAAAABACAAAAAqAQAAZHJzL2Uyb0RvYy54bWxQSwUGAAAA&#10;AAYABgBZAQAATgUAAAAA&#10;">
              <v:fill on="f" focussize="0,0"/>
              <v:stroke on="f"/>
              <v:imagedata o:title=""/>
              <o:lock v:ext="edit" aspectratio="f"/>
              <v:textbox inset="0mm,0mm,0mm,0mm">
                <w:txbxContent>
                  <w:p w14:paraId="119C85EA">
                    <w:pPr>
                      <w:spacing w:before="5" w:line="222" w:lineRule="exact"/>
                      <w:ind w:left="20"/>
                      <w:rPr>
                        <w:rFonts w:ascii="等线"/>
                        <w:sz w:val="18"/>
                      </w:rPr>
                    </w:pPr>
                    <w:r>
                      <w:rPr>
                        <w:rFonts w:ascii="等线"/>
                        <w:sz w:val="18"/>
                      </w:rPr>
                      <w:t>-</w:t>
                    </w:r>
                    <w:r>
                      <w:rPr>
                        <w:rFonts w:ascii="等线"/>
                        <w:spacing w:val="-5"/>
                        <w:sz w:val="18"/>
                      </w:rPr>
                      <w:fldChar w:fldCharType="begin"/>
                    </w:r>
                    <w:r>
                      <w:rPr>
                        <w:rFonts w:ascii="等线"/>
                        <w:spacing w:val="-5"/>
                        <w:sz w:val="18"/>
                      </w:rPr>
                      <w:instrText xml:space="preserve"> PAGE </w:instrText>
                    </w:r>
                    <w:r>
                      <w:rPr>
                        <w:rFonts w:ascii="等线"/>
                        <w:spacing w:val="-5"/>
                        <w:sz w:val="18"/>
                      </w:rPr>
                      <w:fldChar w:fldCharType="separate"/>
                    </w:r>
                    <w:r>
                      <w:rPr>
                        <w:rFonts w:ascii="等线"/>
                        <w:spacing w:val="-5"/>
                        <w:sz w:val="18"/>
                      </w:rPr>
                      <w:t>9</w:t>
                    </w:r>
                    <w:r>
                      <w:rPr>
                        <w:rFonts w:ascii="等线"/>
                        <w:spacing w:val="-5"/>
                        <w:sz w:val="18"/>
                      </w:rPr>
                      <w:fldChar w:fldCharType="end"/>
                    </w:r>
                    <w:r>
                      <w:rPr>
                        <w:rFonts w:ascii="等线"/>
                        <w:spacing w:val="-5"/>
                        <w:sz w:val="1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VhNGJiMWVmZTg4ZjFhYWZhYWFiMzBkODkwYWRkZmUifQ=="/>
  </w:docVars>
  <w:rsids>
    <w:rsidRoot w:val="007B3D6C"/>
    <w:rsid w:val="000721BB"/>
    <w:rsid w:val="001C11B2"/>
    <w:rsid w:val="004C7F7C"/>
    <w:rsid w:val="00614838"/>
    <w:rsid w:val="007264D1"/>
    <w:rsid w:val="007B3D6C"/>
    <w:rsid w:val="00AF2411"/>
    <w:rsid w:val="00CE780C"/>
    <w:rsid w:val="00DD0D11"/>
    <w:rsid w:val="00DF4401"/>
    <w:rsid w:val="00E42965"/>
    <w:rsid w:val="00E556FC"/>
    <w:rsid w:val="0E0E6696"/>
    <w:rsid w:val="103938E4"/>
    <w:rsid w:val="17FE2BBD"/>
    <w:rsid w:val="1C89057B"/>
    <w:rsid w:val="1F1878D6"/>
    <w:rsid w:val="268A5D66"/>
    <w:rsid w:val="27FC0E78"/>
    <w:rsid w:val="2929227F"/>
    <w:rsid w:val="2E0E50C0"/>
    <w:rsid w:val="2E2E093A"/>
    <w:rsid w:val="2E682E31"/>
    <w:rsid w:val="2F1C5505"/>
    <w:rsid w:val="30610403"/>
    <w:rsid w:val="351A211F"/>
    <w:rsid w:val="38111719"/>
    <w:rsid w:val="384957D8"/>
    <w:rsid w:val="38F82835"/>
    <w:rsid w:val="395B1DBF"/>
    <w:rsid w:val="3F407EC5"/>
    <w:rsid w:val="4054083F"/>
    <w:rsid w:val="430E4AEF"/>
    <w:rsid w:val="43F91B35"/>
    <w:rsid w:val="454B049A"/>
    <w:rsid w:val="495B276F"/>
    <w:rsid w:val="4DD81F14"/>
    <w:rsid w:val="4E381440"/>
    <w:rsid w:val="54D0424F"/>
    <w:rsid w:val="5F2573AD"/>
    <w:rsid w:val="659628B6"/>
    <w:rsid w:val="67934541"/>
    <w:rsid w:val="68256D62"/>
    <w:rsid w:val="69F67228"/>
    <w:rsid w:val="6A5C5CCE"/>
    <w:rsid w:val="71BF4AFB"/>
    <w:rsid w:val="72305056"/>
    <w:rsid w:val="725D5AF4"/>
    <w:rsid w:val="72961468"/>
    <w:rsid w:val="74CA6A26"/>
    <w:rsid w:val="753061A8"/>
    <w:rsid w:val="78381402"/>
    <w:rsid w:val="79C472D3"/>
    <w:rsid w:val="7CFD5B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qFormat="1" w:uiPriority="99" w:semiHidden="0"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仿宋" w:hAnsi="仿宋" w:eastAsia="仿宋" w:cs="仿宋"/>
      <w:sz w:val="22"/>
      <w:szCs w:val="22"/>
      <w:lang w:val="en-US" w:eastAsia="zh-CN" w:bidi="ar-SA"/>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unhideWhenUsed/>
    <w:qFormat/>
    <w:uiPriority w:val="99"/>
  </w:style>
  <w:style w:type="paragraph" w:styleId="3">
    <w:name w:val="Body Text"/>
    <w:basedOn w:val="1"/>
    <w:qFormat/>
    <w:uiPriority w:val="1"/>
    <w:pPr>
      <w:ind w:left="111"/>
    </w:pPr>
    <w:rPr>
      <w:rFonts w:ascii="PMingLiU" w:hAnsi="PMingLiU" w:eastAsia="PMingLiU" w:cs="PMingLiU"/>
      <w:sz w:val="32"/>
      <w:szCs w:val="32"/>
    </w:rPr>
  </w:style>
  <w:style w:type="paragraph" w:styleId="4">
    <w:name w:val="Balloon Text"/>
    <w:basedOn w:val="1"/>
    <w:link w:val="18"/>
    <w:semiHidden/>
    <w:unhideWhenUsed/>
    <w:qFormat/>
    <w:uiPriority w:val="99"/>
    <w:rPr>
      <w:sz w:val="18"/>
      <w:szCs w:val="18"/>
    </w:rPr>
  </w:style>
  <w:style w:type="paragraph" w:styleId="5">
    <w:name w:val="footer"/>
    <w:basedOn w:val="1"/>
    <w:unhideWhenUsed/>
    <w:qFormat/>
    <w:uiPriority w:val="99"/>
    <w:pPr>
      <w:tabs>
        <w:tab w:val="center" w:pos="4153"/>
        <w:tab w:val="right" w:pos="8306"/>
      </w:tabs>
      <w:snapToGrid w:val="0"/>
    </w:pPr>
    <w:rPr>
      <w:sz w:val="18"/>
      <w:szCs w:val="18"/>
    </w:rPr>
  </w:style>
  <w:style w:type="paragraph" w:styleId="6">
    <w:name w:val="footnote text"/>
    <w:basedOn w:val="1"/>
    <w:semiHidden/>
    <w:qFormat/>
    <w:uiPriority w:val="0"/>
    <w:pPr>
      <w:snapToGrid w:val="0"/>
    </w:pPr>
    <w:rPr>
      <w:sz w:val="18"/>
      <w:szCs w:val="18"/>
    </w:rPr>
  </w:style>
  <w:style w:type="paragraph" w:styleId="7">
    <w:name w:val="Normal (Web)"/>
    <w:basedOn w:val="1"/>
    <w:qFormat/>
    <w:uiPriority w:val="99"/>
    <w:pPr>
      <w:widowControl/>
      <w:spacing w:before="100" w:beforeAutospacing="1" w:after="100" w:afterAutospacing="1"/>
    </w:pPr>
    <w:rPr>
      <w:rFonts w:ascii="宋体" w:hAnsi="宋体" w:cs="宋体"/>
      <w:sz w:val="24"/>
    </w:rPr>
  </w:style>
  <w:style w:type="paragraph" w:styleId="8">
    <w:name w:val="annotation subject"/>
    <w:basedOn w:val="2"/>
    <w:next w:val="2"/>
    <w:link w:val="17"/>
    <w:semiHidden/>
    <w:unhideWhenUsed/>
    <w:qFormat/>
    <w:uiPriority w:val="99"/>
    <w:rPr>
      <w:b/>
      <w:bCs/>
    </w:rPr>
  </w:style>
  <w:style w:type="character" w:styleId="11">
    <w:name w:val="Strong"/>
    <w:basedOn w:val="10"/>
    <w:qFormat/>
    <w:uiPriority w:val="22"/>
    <w:rPr>
      <w:b/>
      <w:bCs/>
    </w:rPr>
  </w:style>
  <w:style w:type="character" w:styleId="12">
    <w:name w:val="annotation reference"/>
    <w:basedOn w:val="10"/>
    <w:semiHidden/>
    <w:unhideWhenUsed/>
    <w:qFormat/>
    <w:uiPriority w:val="99"/>
    <w:rPr>
      <w:sz w:val="21"/>
      <w:szCs w:val="21"/>
    </w:rPr>
  </w:style>
  <w:style w:type="table" w:customStyle="1" w:styleId="13">
    <w:name w:val="Table Normal"/>
    <w:semiHidden/>
    <w:unhideWhenUsed/>
    <w:qFormat/>
    <w:uiPriority w:val="2"/>
    <w:tblPr>
      <w:tblCellMar>
        <w:top w:w="0" w:type="dxa"/>
        <w:left w:w="0" w:type="dxa"/>
        <w:bottom w:w="0" w:type="dxa"/>
        <w:right w:w="0" w:type="dxa"/>
      </w:tblCellMar>
    </w:tblPr>
  </w:style>
  <w:style w:type="paragraph" w:styleId="14">
    <w:name w:val="List Paragraph"/>
    <w:basedOn w:val="1"/>
    <w:qFormat/>
    <w:uiPriority w:val="1"/>
    <w:pPr>
      <w:spacing w:before="2"/>
      <w:ind w:left="111" w:firstLine="640"/>
    </w:pPr>
    <w:rPr>
      <w:rFonts w:ascii="PMingLiU" w:hAnsi="PMingLiU" w:eastAsia="PMingLiU" w:cs="PMingLiU"/>
    </w:rPr>
  </w:style>
  <w:style w:type="paragraph" w:customStyle="1" w:styleId="15">
    <w:name w:val="Table Paragraph"/>
    <w:basedOn w:val="1"/>
    <w:qFormat/>
    <w:uiPriority w:val="1"/>
  </w:style>
  <w:style w:type="character" w:customStyle="1" w:styleId="16">
    <w:name w:val="批注文字 Char"/>
    <w:basedOn w:val="10"/>
    <w:link w:val="2"/>
    <w:qFormat/>
    <w:uiPriority w:val="99"/>
    <w:rPr>
      <w:rFonts w:ascii="仿宋" w:hAnsi="仿宋" w:eastAsia="仿宋" w:cs="仿宋"/>
      <w:sz w:val="22"/>
      <w:szCs w:val="22"/>
    </w:rPr>
  </w:style>
  <w:style w:type="character" w:customStyle="1" w:styleId="17">
    <w:name w:val="批注主题 Char"/>
    <w:basedOn w:val="16"/>
    <w:link w:val="8"/>
    <w:semiHidden/>
    <w:qFormat/>
    <w:uiPriority w:val="99"/>
    <w:rPr>
      <w:rFonts w:ascii="仿宋" w:hAnsi="仿宋" w:eastAsia="仿宋" w:cs="仿宋"/>
      <w:b/>
      <w:bCs/>
      <w:sz w:val="22"/>
      <w:szCs w:val="22"/>
    </w:rPr>
  </w:style>
  <w:style w:type="character" w:customStyle="1" w:styleId="18">
    <w:name w:val="批注框文本 Char"/>
    <w:basedOn w:val="10"/>
    <w:link w:val="4"/>
    <w:semiHidden/>
    <w:qFormat/>
    <w:uiPriority w:val="99"/>
    <w:rPr>
      <w:rFonts w:ascii="仿宋" w:hAnsi="仿宋" w:eastAsia="仿宋" w:cs="仿宋"/>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4631</Words>
  <Characters>4633</Characters>
  <Lines>36</Lines>
  <Paragraphs>10</Paragraphs>
  <TotalTime>5</TotalTime>
  <ScaleCrop>false</ScaleCrop>
  <LinksUpToDate>false</LinksUpToDate>
  <CharactersWithSpaces>4706</CharactersWithSpaces>
  <Application>WPS Office_12.1.0.17440_F1E327BC-269C-435d-A152-05C5408002CA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2024-05-29T02:51:00Z</dcterms:created>
  <dc:creator>86139</dc:creator>
  <cp:lastModifiedBy>安琪</cp:lastModifiedBy>
  <dcterms:modified xsi:type="dcterms:W3CDTF">2024-07-09T04:29:54Z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2018-08-01T00:00:00Z</vt:filetime>
  </property>
  <property fmtid="{D5CDD505-2E9C-101B-9397-08002B2CF9AE}" pid="3" name="Creator">
    <vt:lpwstr>Acrobat PDFMaker 15 Word 版</vt:lpwstr>
  </property>
  <property fmtid="{D5CDD505-2E9C-101B-9397-08002B2CF9AE}" pid="4" name="LastSaved">
    <vt:filetime>2024-05-28T00:00:00Z</vt:filetime>
  </property>
  <property fmtid="{D5CDD505-2E9C-101B-9397-08002B2CF9AE}" pid="5" name="Producer">
    <vt:lpwstr>Adobe PDF Library 15.0</vt:lpwstr>
  </property>
  <property fmtid="{D5CDD505-2E9C-101B-9397-08002B2CF9AE}" pid="6" name="KSOProductBuildVer">
    <vt:lpwstr>2052-12.1.0.17440</vt:lpwstr>
  </property>
  <property fmtid="{D5CDD505-2E9C-101B-9397-08002B2CF9AE}" pid="7" name="ICV">
    <vt:lpwstr>A0918FD8C7B242C8867EB6310C488370_13</vt:lpwstr>
  </property>
</Properties>
</file>